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E2A" w:rsidRPr="00D405FB" w:rsidRDefault="0079513C" w:rsidP="00FB2991">
      <w:pPr>
        <w:jc w:val="center"/>
        <w:rPr>
          <w:b/>
          <w:sz w:val="36"/>
          <w:szCs w:val="36"/>
        </w:rPr>
      </w:pPr>
      <w:r w:rsidRPr="00D405FB">
        <w:rPr>
          <w:b/>
          <w:sz w:val="36"/>
          <w:szCs w:val="36"/>
        </w:rPr>
        <w:t xml:space="preserve">Clumber </w:t>
      </w:r>
      <w:proofErr w:type="gramStart"/>
      <w:r w:rsidRPr="00D405FB">
        <w:rPr>
          <w:b/>
          <w:sz w:val="36"/>
          <w:szCs w:val="36"/>
        </w:rPr>
        <w:t>Spaniel</w:t>
      </w:r>
      <w:proofErr w:type="gramEnd"/>
      <w:r w:rsidRPr="00D405FB">
        <w:rPr>
          <w:b/>
          <w:sz w:val="36"/>
          <w:szCs w:val="36"/>
        </w:rPr>
        <w:t xml:space="preserve"> </w:t>
      </w:r>
      <w:r w:rsidR="004A3BE5" w:rsidRPr="00D405FB">
        <w:rPr>
          <w:b/>
          <w:sz w:val="36"/>
          <w:szCs w:val="36"/>
        </w:rPr>
        <w:t>Litter Analysis f</w:t>
      </w:r>
      <w:r w:rsidR="0012408B" w:rsidRPr="00D405FB">
        <w:rPr>
          <w:b/>
          <w:sz w:val="36"/>
          <w:szCs w:val="36"/>
        </w:rPr>
        <w:t>or</w:t>
      </w:r>
      <w:r w:rsidR="00AA1261" w:rsidRPr="00D405FB">
        <w:rPr>
          <w:b/>
          <w:sz w:val="36"/>
          <w:szCs w:val="36"/>
        </w:rPr>
        <w:t xml:space="preserve"> the year 2015</w:t>
      </w:r>
    </w:p>
    <w:p w:rsidR="00683978" w:rsidRDefault="00683978" w:rsidP="00FB2991">
      <w:pPr>
        <w:jc w:val="both"/>
      </w:pPr>
    </w:p>
    <w:p w:rsidR="00E85A56" w:rsidRDefault="00EA7B97" w:rsidP="00FB2991">
      <w:pPr>
        <w:jc w:val="both"/>
      </w:pPr>
      <w:r>
        <w:t xml:space="preserve">Clumber </w:t>
      </w:r>
      <w:proofErr w:type="gramStart"/>
      <w:r w:rsidR="00A33A4B">
        <w:t>Spaniel</w:t>
      </w:r>
      <w:proofErr w:type="gramEnd"/>
      <w:r w:rsidR="00A33A4B">
        <w:t xml:space="preserve"> </w:t>
      </w:r>
      <w:r>
        <w:t>puppy registrations have</w:t>
      </w:r>
      <w:r w:rsidR="005E4502">
        <w:t xml:space="preserve"> been analysed for the past </w:t>
      </w:r>
      <w:r w:rsidR="0013308F">
        <w:t>four years.</w:t>
      </w:r>
      <w:r w:rsidR="00522D99">
        <w:t xml:space="preserve"> </w:t>
      </w:r>
      <w:r w:rsidR="00E85A56">
        <w:t xml:space="preserve">The information on puppies and litters is kindly provided by Jackie Crawford and is taken from her pedigree database. </w:t>
      </w:r>
    </w:p>
    <w:p w:rsidR="00E85A56" w:rsidRDefault="00E85A56" w:rsidP="00FB2991">
      <w:pPr>
        <w:jc w:val="both"/>
      </w:pPr>
    </w:p>
    <w:p w:rsidR="00E85A56" w:rsidRDefault="00E85A56" w:rsidP="00FB2991">
      <w:pPr>
        <w:jc w:val="both"/>
      </w:pPr>
      <w:r>
        <w:t>All of the analysis is based on the date of birth of the puppies and not the date of registration or appearance in the Kennel Club Breed Record Supplement. This means the report is delayed till late the following year to ensure details of all puppies are included.</w:t>
      </w:r>
    </w:p>
    <w:p w:rsidR="00E85A56" w:rsidRDefault="00E85A56" w:rsidP="00FB2991">
      <w:pPr>
        <w:jc w:val="both"/>
      </w:pPr>
    </w:p>
    <w:p w:rsidR="0013308F" w:rsidRDefault="005E4502" w:rsidP="00FB2991">
      <w:pPr>
        <w:jc w:val="both"/>
      </w:pPr>
      <w:r>
        <w:t xml:space="preserve">This </w:t>
      </w:r>
      <w:r w:rsidR="00EA7B97">
        <w:t xml:space="preserve">year the </w:t>
      </w:r>
      <w:r>
        <w:t>repo</w:t>
      </w:r>
      <w:r w:rsidR="0013308F">
        <w:t>rt is divided into two sections:</w:t>
      </w:r>
    </w:p>
    <w:p w:rsidR="0013308F" w:rsidRDefault="00C46C08" w:rsidP="00FB2991">
      <w:pPr>
        <w:pStyle w:val="ListParagraph"/>
        <w:numPr>
          <w:ilvl w:val="0"/>
          <w:numId w:val="9"/>
        </w:numPr>
        <w:jc w:val="both"/>
      </w:pPr>
      <w:r>
        <w:t xml:space="preserve">The </w:t>
      </w:r>
      <w:r w:rsidR="005E4502">
        <w:t xml:space="preserve">first focuses on factors </w:t>
      </w:r>
      <w:r w:rsidR="00E85A56">
        <w:t>such as puppy numbers</w:t>
      </w:r>
      <w:r>
        <w:t>,</w:t>
      </w:r>
      <w:r w:rsidR="00E85A56">
        <w:t xml:space="preserve"> Coefficient of Inbreeding, </w:t>
      </w:r>
      <w:r>
        <w:t xml:space="preserve">popular sires and repeat </w:t>
      </w:r>
      <w:proofErr w:type="spellStart"/>
      <w:r>
        <w:t>matings</w:t>
      </w:r>
      <w:proofErr w:type="spellEnd"/>
      <w:r>
        <w:t xml:space="preserve"> </w:t>
      </w:r>
      <w:r w:rsidR="00E85A56">
        <w:t>which</w:t>
      </w:r>
      <w:r w:rsidR="005E4502">
        <w:t xml:space="preserve"> can be used to show how breeding decisions can affect progress to preserve the breed and its genetic health. </w:t>
      </w:r>
    </w:p>
    <w:p w:rsidR="005E4502" w:rsidRDefault="005E4502" w:rsidP="00FB2991">
      <w:pPr>
        <w:pStyle w:val="ListParagraph"/>
        <w:numPr>
          <w:ilvl w:val="0"/>
          <w:numId w:val="9"/>
        </w:numPr>
        <w:jc w:val="both"/>
      </w:pPr>
      <w:r>
        <w:t>The second section</w:t>
      </w:r>
      <w:r w:rsidR="00C46C08">
        <w:t>,</w:t>
      </w:r>
      <w:r>
        <w:t xml:space="preserve"> </w:t>
      </w:r>
      <w:r w:rsidR="00EA7B97">
        <w:t>inc</w:t>
      </w:r>
      <w:r>
        <w:t>luded for the first time this year,</w:t>
      </w:r>
      <w:r w:rsidR="00EA7B97">
        <w:t xml:space="preserve"> examines the extent to which breeders are using the various</w:t>
      </w:r>
      <w:r>
        <w:t xml:space="preserve"> </w:t>
      </w:r>
      <w:r w:rsidR="00EA7B97">
        <w:t xml:space="preserve">health screening tests available which could contribute to improving the </w:t>
      </w:r>
      <w:r>
        <w:t>health of individual dogs</w:t>
      </w:r>
      <w:r w:rsidR="00EA7B97">
        <w:t xml:space="preserve"> in the future.</w:t>
      </w:r>
      <w:r w:rsidR="00E85A56">
        <w:t xml:space="preserve"> </w:t>
      </w:r>
    </w:p>
    <w:p w:rsidR="00E85A56" w:rsidRPr="00D405FB" w:rsidRDefault="00E85A56" w:rsidP="00FB2991">
      <w:pPr>
        <w:jc w:val="both"/>
      </w:pPr>
    </w:p>
    <w:p w:rsidR="00D64BA4" w:rsidRPr="005E4502" w:rsidRDefault="00D64BA4" w:rsidP="005E4502">
      <w:pPr>
        <w:pStyle w:val="ListParagraph"/>
        <w:numPr>
          <w:ilvl w:val="1"/>
          <w:numId w:val="6"/>
        </w:numPr>
        <w:jc w:val="both"/>
        <w:rPr>
          <w:b/>
          <w:sz w:val="28"/>
          <w:szCs w:val="28"/>
        </w:rPr>
      </w:pPr>
      <w:r w:rsidRPr="005E4502">
        <w:rPr>
          <w:b/>
          <w:sz w:val="28"/>
          <w:szCs w:val="28"/>
        </w:rPr>
        <w:t xml:space="preserve">Number of puppies </w:t>
      </w:r>
      <w:r w:rsidR="002B4518" w:rsidRPr="005E4502">
        <w:rPr>
          <w:b/>
          <w:sz w:val="28"/>
          <w:szCs w:val="28"/>
        </w:rPr>
        <w:t>and litters</w:t>
      </w:r>
    </w:p>
    <w:p w:rsidR="005E4502" w:rsidRDefault="005E4502" w:rsidP="00871696">
      <w:r>
        <w:t>Clumber Spaniels are currently on the Kennel Club’s Vulnerable Breed List which includes native breeds with less than 300 puppies born each year, indicating that the breed is “declining” or that its “status in the world of dogs has diminished over a number of years</w:t>
      </w:r>
      <w:r w:rsidR="00DF0054">
        <w:t>”</w:t>
      </w:r>
      <w:r>
        <w:t>.</w:t>
      </w:r>
    </w:p>
    <w:p w:rsidR="005E4502" w:rsidRDefault="005E4502" w:rsidP="00871696"/>
    <w:p w:rsidR="00F8584F" w:rsidRPr="00D405FB" w:rsidRDefault="00BC5EA7" w:rsidP="00871696">
      <w:r>
        <w:t>In 2015 there were 197</w:t>
      </w:r>
      <w:r w:rsidR="00871696" w:rsidRPr="00D405FB">
        <w:t xml:space="preserve"> puppies born and registered from 3</w:t>
      </w:r>
      <w:r>
        <w:t>5</w:t>
      </w:r>
      <w:r w:rsidR="00871696" w:rsidRPr="00D405FB">
        <w:t xml:space="preserve"> litters which gives an average of 5.</w:t>
      </w:r>
      <w:r>
        <w:t>62</w:t>
      </w:r>
      <w:r w:rsidR="00871696" w:rsidRPr="00D405FB">
        <w:t xml:space="preserve"> puppies per litter. The split betwe</w:t>
      </w:r>
      <w:r w:rsidR="00F915C1">
        <w:t>en dogs and bitches born was 109</w:t>
      </w:r>
      <w:r>
        <w:t xml:space="preserve"> (55%) dogs and 8</w:t>
      </w:r>
      <w:r w:rsidR="00F915C1">
        <w:t>8</w:t>
      </w:r>
      <w:r w:rsidR="00871696" w:rsidRPr="00D405FB">
        <w:t xml:space="preserve"> (4</w:t>
      </w:r>
      <w:r>
        <w:t>5</w:t>
      </w:r>
      <w:r w:rsidR="00871696" w:rsidRPr="00D405FB">
        <w:t>%) bitches.</w:t>
      </w:r>
    </w:p>
    <w:p w:rsidR="00871696" w:rsidRPr="00D405FB" w:rsidRDefault="00871696" w:rsidP="00871696"/>
    <w:p w:rsidR="00871696" w:rsidRPr="00D405FB" w:rsidRDefault="00871696" w:rsidP="00871696">
      <w:r w:rsidRPr="00D405FB">
        <w:t xml:space="preserve">The trend over the past ten years (2006-2015) shows a decrease in both puppies born and litters produced </w:t>
      </w:r>
      <w:r w:rsidR="00304F7D" w:rsidRPr="00D405FB">
        <w:t xml:space="preserve">as shown in the </w:t>
      </w:r>
      <w:r w:rsidR="00522D99">
        <w:t>two</w:t>
      </w:r>
      <w:r w:rsidR="00304F7D" w:rsidRPr="00D405FB">
        <w:t xml:space="preserve"> figures below.  In each figure the blue line represents the actual numbers of puppies</w:t>
      </w:r>
      <w:r w:rsidR="00BC5EA7">
        <w:t xml:space="preserve"> </w:t>
      </w:r>
      <w:r w:rsidR="00EA7B97">
        <w:t>or</w:t>
      </w:r>
      <w:r w:rsidR="00BC5EA7">
        <w:t xml:space="preserve"> litters, and the red</w:t>
      </w:r>
      <w:r w:rsidR="00304F7D" w:rsidRPr="00D405FB">
        <w:t xml:space="preserve"> line represents the trend over this period which shows a clear decline in each over the last ten years.</w:t>
      </w:r>
    </w:p>
    <w:p w:rsidR="00F8584F" w:rsidRPr="00D405FB" w:rsidRDefault="00F8584F" w:rsidP="00FB2991">
      <w:pPr>
        <w:jc w:val="both"/>
      </w:pPr>
    </w:p>
    <w:p w:rsidR="0079513C" w:rsidRPr="00D405FB" w:rsidRDefault="00BC5EA7" w:rsidP="00871696">
      <w:pPr>
        <w:jc w:val="center"/>
      </w:pPr>
      <w:r w:rsidRPr="00EA7B97">
        <w:rPr>
          <w:noProof/>
          <w:bdr w:val="single" w:sz="4" w:space="0" w:color="auto"/>
          <w:lang w:eastAsia="en-GB"/>
        </w:rPr>
        <w:drawing>
          <wp:inline distT="0" distB="0" distL="0" distR="0">
            <wp:extent cx="3019096" cy="2427890"/>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871696" w:rsidRPr="00D405FB">
        <w:t xml:space="preserve">       </w:t>
      </w:r>
      <w:r w:rsidRPr="00BC5EA7">
        <w:rPr>
          <w:noProof/>
          <w:lang w:eastAsia="en-GB"/>
        </w:rPr>
        <w:drawing>
          <wp:inline distT="0" distB="0" distL="0" distR="0">
            <wp:extent cx="2787212" cy="2372710"/>
            <wp:effectExtent l="19050" t="0" r="13138" b="854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871696" w:rsidRPr="00D405FB">
        <w:t xml:space="preserve">   </w:t>
      </w:r>
    </w:p>
    <w:p w:rsidR="00304F7D" w:rsidRPr="00D405FB" w:rsidRDefault="00304F7D" w:rsidP="00304F7D">
      <w:pPr>
        <w:jc w:val="center"/>
      </w:pPr>
    </w:p>
    <w:p w:rsidR="00304F7D" w:rsidRPr="00D405FB" w:rsidRDefault="00D64BA4" w:rsidP="00304F7D">
      <w:pPr>
        <w:jc w:val="center"/>
        <w:rPr>
          <w:b/>
          <w:i/>
        </w:rPr>
      </w:pPr>
      <w:r w:rsidRPr="00D405FB">
        <w:rPr>
          <w:b/>
          <w:i/>
        </w:rPr>
        <w:t xml:space="preserve">Figure 1: Number of puppies </w:t>
      </w:r>
      <w:r w:rsidR="00334BA8" w:rsidRPr="00D405FB">
        <w:rPr>
          <w:b/>
          <w:i/>
        </w:rPr>
        <w:t>born each</w:t>
      </w:r>
      <w:r w:rsidRPr="00D405FB">
        <w:rPr>
          <w:b/>
          <w:i/>
        </w:rPr>
        <w:t xml:space="preserve"> year</w:t>
      </w:r>
      <w:r w:rsidR="00334BA8" w:rsidRPr="00D405FB">
        <w:rPr>
          <w:b/>
          <w:i/>
        </w:rPr>
        <w:t xml:space="preserve"> </w:t>
      </w:r>
      <w:r w:rsidR="00304F7D" w:rsidRPr="00D405FB">
        <w:rPr>
          <w:b/>
          <w:i/>
        </w:rPr>
        <w:t xml:space="preserve">                    Figure 2: Number of litters per year</w:t>
      </w:r>
    </w:p>
    <w:p w:rsidR="00304F7D" w:rsidRPr="00D405FB" w:rsidRDefault="00304F7D" w:rsidP="00304F7D">
      <w:pPr>
        <w:jc w:val="center"/>
        <w:rPr>
          <w:b/>
          <w:i/>
        </w:rPr>
      </w:pPr>
    </w:p>
    <w:p w:rsidR="00522D99" w:rsidRPr="00D405FB" w:rsidRDefault="00522D99" w:rsidP="00C46C08">
      <w:pPr>
        <w:rPr>
          <w:b/>
          <w:sz w:val="28"/>
          <w:szCs w:val="28"/>
        </w:rPr>
      </w:pPr>
      <w:r w:rsidRPr="00D405FB">
        <w:t>The total number of puppies born in</w:t>
      </w:r>
      <w:r>
        <w:t xml:space="preserve"> the 10 years up to 2015 was 2135</w:t>
      </w:r>
      <w:r w:rsidRPr="00D405FB">
        <w:t xml:space="preserve"> giving an a</w:t>
      </w:r>
      <w:r>
        <w:t>verage of 214 puppies per year; and there were 415</w:t>
      </w:r>
      <w:r w:rsidRPr="00D405FB">
        <w:t xml:space="preserve"> litters during this 10 year period (200</w:t>
      </w:r>
      <w:r>
        <w:t>6-2015), giving an average of 42</w:t>
      </w:r>
      <w:r w:rsidRPr="00D405FB">
        <w:t xml:space="preserve"> litters per year.</w:t>
      </w:r>
      <w:r w:rsidR="00C46C08">
        <w:t xml:space="preserve"> </w:t>
      </w:r>
      <w:r w:rsidRPr="00D405FB">
        <w:t xml:space="preserve">There have now been two successive years with less than </w:t>
      </w:r>
      <w:r>
        <w:t xml:space="preserve">40 litters and less than </w:t>
      </w:r>
      <w:r w:rsidRPr="00D405FB">
        <w:t>200 puppies born.</w:t>
      </w:r>
    </w:p>
    <w:p w:rsidR="00AF2197" w:rsidRDefault="00AF2197" w:rsidP="00FB2991">
      <w:pPr>
        <w:jc w:val="both"/>
      </w:pPr>
    </w:p>
    <w:p w:rsidR="00522D99" w:rsidRDefault="00522D99" w:rsidP="00FB2991">
      <w:pPr>
        <w:jc w:val="both"/>
      </w:pPr>
      <w:r>
        <w:t xml:space="preserve">However the number of puppies per litter remains fairly constant as can be seen in the next graph. </w:t>
      </w:r>
    </w:p>
    <w:p w:rsidR="00C46C08" w:rsidRPr="00D405FB" w:rsidRDefault="00C46C08" w:rsidP="00FB2991">
      <w:pPr>
        <w:jc w:val="both"/>
      </w:pPr>
    </w:p>
    <w:p w:rsidR="004331FF" w:rsidRPr="00D405FB" w:rsidRDefault="00BC5EA7" w:rsidP="004D2DF4">
      <w:pPr>
        <w:jc w:val="center"/>
      </w:pPr>
      <w:r w:rsidRPr="00BC5EA7">
        <w:rPr>
          <w:noProof/>
          <w:lang w:eastAsia="en-GB"/>
        </w:rPr>
        <w:drawing>
          <wp:inline distT="0" distB="0" distL="0" distR="0">
            <wp:extent cx="4619625" cy="2247900"/>
            <wp:effectExtent l="19050" t="0" r="9525" b="0"/>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4BA4" w:rsidRPr="00D405FB" w:rsidRDefault="00D64BA4" w:rsidP="00FB2991">
      <w:pPr>
        <w:jc w:val="both"/>
      </w:pPr>
    </w:p>
    <w:p w:rsidR="00AC0406" w:rsidRPr="00D405FB" w:rsidRDefault="00AC0406" w:rsidP="004D2DF4">
      <w:pPr>
        <w:jc w:val="center"/>
        <w:rPr>
          <w:b/>
          <w:i/>
        </w:rPr>
      </w:pPr>
      <w:r w:rsidRPr="00D405FB">
        <w:rPr>
          <w:b/>
          <w:i/>
        </w:rPr>
        <w:t xml:space="preserve">Figure </w:t>
      </w:r>
      <w:r w:rsidR="00F8584F" w:rsidRPr="00D405FB">
        <w:rPr>
          <w:b/>
          <w:i/>
        </w:rPr>
        <w:t>3</w:t>
      </w:r>
      <w:r w:rsidRPr="00D405FB">
        <w:rPr>
          <w:i/>
        </w:rPr>
        <w:t xml:space="preserve">: </w:t>
      </w:r>
      <w:r w:rsidRPr="00D405FB">
        <w:rPr>
          <w:b/>
          <w:i/>
        </w:rPr>
        <w:t>Number of puppies per litter</w:t>
      </w:r>
    </w:p>
    <w:p w:rsidR="00522D99" w:rsidRDefault="00522D99" w:rsidP="00522D99">
      <w:pPr>
        <w:jc w:val="both"/>
      </w:pPr>
    </w:p>
    <w:p w:rsidR="00522D99" w:rsidRPr="00D405FB" w:rsidRDefault="00522D99" w:rsidP="00522D99">
      <w:pPr>
        <w:jc w:val="both"/>
        <w:rPr>
          <w:b/>
          <w:sz w:val="28"/>
          <w:szCs w:val="28"/>
        </w:rPr>
      </w:pPr>
      <w:r w:rsidRPr="00D405FB">
        <w:t xml:space="preserve">The average number of puppies per litter </w:t>
      </w:r>
      <w:r>
        <w:t>in 2015 was 5.6</w:t>
      </w:r>
      <w:r w:rsidR="00F915C1">
        <w:t>3</w:t>
      </w:r>
      <w:r w:rsidRPr="00D405FB">
        <w:t xml:space="preserve"> which </w:t>
      </w:r>
      <w:proofErr w:type="gramStart"/>
      <w:r w:rsidRPr="00D405FB">
        <w:t>was</w:t>
      </w:r>
      <w:proofErr w:type="gramEnd"/>
      <w:r w:rsidRPr="00D405FB">
        <w:t xml:space="preserve"> above the average for the past 10 years which is </w:t>
      </w:r>
      <w:r>
        <w:t>5.16</w:t>
      </w:r>
      <w:r w:rsidRPr="00D405FB">
        <w:t xml:space="preserve"> puppies per litter.</w:t>
      </w:r>
      <w:r>
        <w:t xml:space="preserve"> </w:t>
      </w:r>
    </w:p>
    <w:p w:rsidR="00522D99" w:rsidRPr="00D405FB" w:rsidRDefault="00522D99" w:rsidP="00522D99">
      <w:pPr>
        <w:jc w:val="both"/>
      </w:pPr>
    </w:p>
    <w:p w:rsidR="007F7404" w:rsidRDefault="007F7404" w:rsidP="007F7404">
      <w:pPr>
        <w:jc w:val="both"/>
      </w:pPr>
      <w:r w:rsidRPr="00D405FB">
        <w:t>The split between the number of dogs and bit</w:t>
      </w:r>
      <w:r w:rsidR="00D405FB">
        <w:t>ches born has changed over the</w:t>
      </w:r>
      <w:r w:rsidRPr="00D405FB">
        <w:t xml:space="preserve"> 16 years that this data has been collected. Figure 4 shows the percentage of each </w:t>
      </w:r>
      <w:r w:rsidR="00D405FB">
        <w:t xml:space="preserve">sex </w:t>
      </w:r>
      <w:r w:rsidRPr="00D405FB">
        <w:t>born per year and the change from a majority of bitches to a majority of dogs can clearly be seen.</w:t>
      </w:r>
    </w:p>
    <w:p w:rsidR="00C46C08" w:rsidRPr="00D405FB" w:rsidRDefault="00C46C08" w:rsidP="007F7404">
      <w:pPr>
        <w:jc w:val="both"/>
      </w:pPr>
    </w:p>
    <w:p w:rsidR="007F7404" w:rsidRPr="00D405FB" w:rsidRDefault="00BC5EA7" w:rsidP="007F7404">
      <w:pPr>
        <w:jc w:val="center"/>
      </w:pPr>
      <w:r w:rsidRPr="00BC5EA7">
        <w:rPr>
          <w:noProof/>
          <w:lang w:eastAsia="en-GB"/>
        </w:rPr>
        <w:drawing>
          <wp:inline distT="0" distB="0" distL="0" distR="0">
            <wp:extent cx="5924550" cy="3486150"/>
            <wp:effectExtent l="19050" t="0" r="19050" b="0"/>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F7404" w:rsidRPr="00D405FB" w:rsidRDefault="007F7404" w:rsidP="007F7404">
      <w:pPr>
        <w:jc w:val="center"/>
      </w:pPr>
    </w:p>
    <w:p w:rsidR="007F7404" w:rsidRPr="00D405FB" w:rsidRDefault="007F7404" w:rsidP="007F7404">
      <w:pPr>
        <w:jc w:val="center"/>
        <w:rPr>
          <w:b/>
          <w:i/>
        </w:rPr>
      </w:pPr>
      <w:r w:rsidRPr="00D405FB">
        <w:rPr>
          <w:b/>
          <w:i/>
        </w:rPr>
        <w:t>Figure 4 Percentage of dogs and bitches born each year since 2000</w:t>
      </w:r>
    </w:p>
    <w:p w:rsidR="004A4B14" w:rsidRPr="00D405FB" w:rsidRDefault="004D2DF4" w:rsidP="00FB2991">
      <w:pPr>
        <w:jc w:val="both"/>
        <w:rPr>
          <w:b/>
          <w:sz w:val="28"/>
          <w:szCs w:val="28"/>
        </w:rPr>
      </w:pPr>
      <w:r w:rsidRPr="00D405FB">
        <w:rPr>
          <w:b/>
          <w:sz w:val="28"/>
          <w:szCs w:val="28"/>
        </w:rPr>
        <w:br w:type="column"/>
      </w:r>
      <w:r w:rsidR="00522D99">
        <w:rPr>
          <w:b/>
          <w:sz w:val="28"/>
          <w:szCs w:val="28"/>
        </w:rPr>
        <w:lastRenderedPageBreak/>
        <w:t>1.</w:t>
      </w:r>
      <w:r w:rsidR="00E46035" w:rsidRPr="00D405FB">
        <w:rPr>
          <w:b/>
          <w:sz w:val="28"/>
          <w:szCs w:val="28"/>
        </w:rPr>
        <w:t>2</w:t>
      </w:r>
      <w:r w:rsidR="00E15EB1" w:rsidRPr="00D405FB">
        <w:rPr>
          <w:b/>
          <w:sz w:val="28"/>
          <w:szCs w:val="28"/>
        </w:rPr>
        <w:t xml:space="preserve">   </w:t>
      </w:r>
      <w:r w:rsidR="004A4B14" w:rsidRPr="00D405FB">
        <w:rPr>
          <w:b/>
          <w:sz w:val="28"/>
          <w:szCs w:val="28"/>
        </w:rPr>
        <w:t>Coefficient of Inbreeding</w:t>
      </w:r>
    </w:p>
    <w:p w:rsidR="00522D99" w:rsidRDefault="00522D99" w:rsidP="00FB2991">
      <w:pPr>
        <w:jc w:val="both"/>
      </w:pPr>
      <w:r>
        <w:t>The Coefficient of Inbreeding (COI) is a measure of the extent of inbreeding. High levels of inbreeding contribute to a loss of genetic diversity and</w:t>
      </w:r>
      <w:r w:rsidR="00EA7B97">
        <w:t xml:space="preserve"> can lead to an increased likeli</w:t>
      </w:r>
      <w:r>
        <w:t>hood of the appearance of</w:t>
      </w:r>
      <w:r w:rsidR="0013308F">
        <w:t xml:space="preserve"> either a</w:t>
      </w:r>
      <w:r>
        <w:t xml:space="preserve"> known inherited disease</w:t>
      </w:r>
      <w:r w:rsidR="0013308F">
        <w:t>,</w:t>
      </w:r>
      <w:r w:rsidR="0013308F" w:rsidRPr="0013308F">
        <w:t xml:space="preserve"> </w:t>
      </w:r>
      <w:r w:rsidR="0013308F">
        <w:t>or one which has not previously been identified in the breed.</w:t>
      </w:r>
    </w:p>
    <w:p w:rsidR="00522D99" w:rsidRDefault="00522D99" w:rsidP="00FB2991">
      <w:pPr>
        <w:jc w:val="both"/>
      </w:pPr>
    </w:p>
    <w:p w:rsidR="00975EF1" w:rsidRPr="00D405FB" w:rsidRDefault="00A3130D" w:rsidP="00975EF1">
      <w:pPr>
        <w:jc w:val="both"/>
      </w:pPr>
      <w:r w:rsidRPr="00D405FB">
        <w:t xml:space="preserve">The </w:t>
      </w:r>
      <w:r w:rsidR="000F074B" w:rsidRPr="00D405FB">
        <w:t xml:space="preserve">KC </w:t>
      </w:r>
      <w:r w:rsidR="00D7644E" w:rsidRPr="00D405FB">
        <w:t xml:space="preserve">Mate Select </w:t>
      </w:r>
      <w:r w:rsidRPr="00D405FB">
        <w:t xml:space="preserve">website includes </w:t>
      </w:r>
      <w:r w:rsidR="00EA7B97">
        <w:t>guidance which states</w:t>
      </w:r>
      <w:r w:rsidR="000F074B" w:rsidRPr="00D405FB">
        <w:t xml:space="preserve"> that “where possible, breeders should produce puppies with an inbreeding coefficient which is at, or below, the annual breed average” “and ideally as low as possible”.</w:t>
      </w:r>
      <w:r w:rsidR="006B61FC" w:rsidRPr="00D405FB">
        <w:t xml:space="preserve"> </w:t>
      </w:r>
      <w:r w:rsidR="00975EF1" w:rsidRPr="00D405FB">
        <w:t xml:space="preserve">Since the first Clumber Spaniel Breed Health Plan was produced in 2014, breeders have been advised that they “should take into the account the resultant COI for any litter and strive to at least be below the current breed average”. </w:t>
      </w:r>
    </w:p>
    <w:p w:rsidR="00975EF1" w:rsidRDefault="00975EF1" w:rsidP="00FB2991">
      <w:pPr>
        <w:jc w:val="both"/>
      </w:pPr>
    </w:p>
    <w:p w:rsidR="000F074B" w:rsidRDefault="006B61FC" w:rsidP="00FB2991">
      <w:pPr>
        <w:jc w:val="both"/>
      </w:pPr>
      <w:r w:rsidRPr="00D405FB">
        <w:t xml:space="preserve">The breed averages published by the KC are based on the </w:t>
      </w:r>
      <w:r w:rsidR="00D405FB">
        <w:t>puppies born</w:t>
      </w:r>
      <w:r w:rsidRPr="00D405FB">
        <w:t xml:space="preserve"> in the previous calendar year</w:t>
      </w:r>
      <w:r w:rsidR="00EA7B97">
        <w:t xml:space="preserve">. </w:t>
      </w:r>
      <w:r w:rsidR="00EA7B97" w:rsidRPr="00D405FB">
        <w:t xml:space="preserve">In </w:t>
      </w:r>
      <w:r w:rsidRPr="00D405FB">
        <w:t>201</w:t>
      </w:r>
      <w:r w:rsidR="00F877F2" w:rsidRPr="00D405FB">
        <w:t>4</w:t>
      </w:r>
      <w:r w:rsidRPr="00D405FB">
        <w:t xml:space="preserve"> the published aver</w:t>
      </w:r>
      <w:r w:rsidR="00F877F2" w:rsidRPr="00D405FB">
        <w:t>age was 1</w:t>
      </w:r>
      <w:r w:rsidR="00910A46">
        <w:t>8.2% based on dogs born in 2013; the following year the published figure was 18.5%;</w:t>
      </w:r>
      <w:r w:rsidR="00F877F2" w:rsidRPr="00D405FB">
        <w:t xml:space="preserve"> and </w:t>
      </w:r>
      <w:r w:rsidR="00910A46">
        <w:t xml:space="preserve">the figure </w:t>
      </w:r>
      <w:r w:rsidR="0013308F">
        <w:t>for</w:t>
      </w:r>
      <w:r w:rsidR="00910A46" w:rsidRPr="00D405FB">
        <w:t xml:space="preserve"> dogs born in 2015</w:t>
      </w:r>
      <w:r w:rsidR="00910A46">
        <w:t xml:space="preserve"> </w:t>
      </w:r>
      <w:r w:rsidR="00F877F2" w:rsidRPr="00D405FB">
        <w:t>had</w:t>
      </w:r>
      <w:r w:rsidRPr="00D405FB">
        <w:t xml:space="preserve"> risen to 19.1%. </w:t>
      </w:r>
    </w:p>
    <w:p w:rsidR="00975EF1" w:rsidRDefault="00975EF1" w:rsidP="00FB2991">
      <w:pPr>
        <w:jc w:val="both"/>
      </w:pPr>
    </w:p>
    <w:p w:rsidR="00B422A5" w:rsidRDefault="0009360C" w:rsidP="00FB2991">
      <w:pPr>
        <w:jc w:val="both"/>
      </w:pPr>
      <w:r>
        <w:t>It is also possible to calculate</w:t>
      </w:r>
      <w:r w:rsidR="00975EF1">
        <w:t xml:space="preserve"> </w:t>
      </w:r>
      <w:r w:rsidR="00A33A4B">
        <w:t>5-generation COI and 10-</w:t>
      </w:r>
      <w:r w:rsidR="00910A46">
        <w:t>generation COI</w:t>
      </w:r>
      <w:r w:rsidR="00975EF1">
        <w:t xml:space="preserve">s and so averages for these were </w:t>
      </w:r>
      <w:r>
        <w:t>collected</w:t>
      </w:r>
      <w:r w:rsidR="00975EF1">
        <w:t xml:space="preserve">, </w:t>
      </w:r>
      <w:proofErr w:type="gramStart"/>
      <w:r w:rsidR="00975EF1">
        <w:t>and  i</w:t>
      </w:r>
      <w:r w:rsidR="00910A46">
        <w:t>n</w:t>
      </w:r>
      <w:proofErr w:type="gramEnd"/>
      <w:r w:rsidR="00910A46">
        <w:t xml:space="preserve"> addition, </w:t>
      </w:r>
      <w:r w:rsidR="007360A5" w:rsidRPr="00D405FB">
        <w:t xml:space="preserve">the COI was </w:t>
      </w:r>
      <w:r w:rsidR="00910A46">
        <w:t xml:space="preserve">also </w:t>
      </w:r>
      <w:r w:rsidR="007360A5" w:rsidRPr="00D405FB">
        <w:t xml:space="preserve">calculated </w:t>
      </w:r>
      <w:r w:rsidR="00910A46" w:rsidRPr="00D405FB">
        <w:t xml:space="preserve">using the KC Mate Select tool </w:t>
      </w:r>
      <w:r w:rsidR="007360A5" w:rsidRPr="00D405FB">
        <w:t xml:space="preserve">for all litters born in 2014 </w:t>
      </w:r>
      <w:r w:rsidR="00A3130D" w:rsidRPr="00D405FB">
        <w:t xml:space="preserve">and </w:t>
      </w:r>
      <w:r w:rsidR="00F877F2" w:rsidRPr="00D405FB">
        <w:t xml:space="preserve">in </w:t>
      </w:r>
      <w:r w:rsidR="00A3130D" w:rsidRPr="00D405FB">
        <w:t>2015</w:t>
      </w:r>
      <w:r w:rsidR="00FB17EF">
        <w:t>. This</w:t>
      </w:r>
      <w:r w:rsidR="00F877F2" w:rsidRPr="00D405FB">
        <w:t xml:space="preserve"> </w:t>
      </w:r>
      <w:r w:rsidR="00975EF1">
        <w:t>last number</w:t>
      </w:r>
      <w:r w:rsidR="00F877F2" w:rsidRPr="00D405FB">
        <w:t xml:space="preserve"> is </w:t>
      </w:r>
      <w:r w:rsidR="007360A5" w:rsidRPr="00D405FB">
        <w:t>referred to as the KC COI</w:t>
      </w:r>
      <w:r w:rsidR="00975EF1">
        <w:t>. The following table shows a comparison of all the different calculations</w:t>
      </w:r>
      <w:r w:rsidR="00F877F2" w:rsidRPr="00D405FB">
        <w:t xml:space="preserve"> </w:t>
      </w:r>
    </w:p>
    <w:p w:rsidR="00910A46" w:rsidRDefault="00910A46" w:rsidP="00FB2991">
      <w:pPr>
        <w:jc w:val="both"/>
      </w:pPr>
    </w:p>
    <w:tbl>
      <w:tblPr>
        <w:tblW w:w="7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1300"/>
        <w:gridCol w:w="1580"/>
        <w:gridCol w:w="1080"/>
        <w:gridCol w:w="2568"/>
      </w:tblGrid>
      <w:tr w:rsidR="00910A46" w:rsidRPr="00910A46" w:rsidTr="00910A46">
        <w:trPr>
          <w:trHeight w:val="600"/>
          <w:jc w:val="center"/>
        </w:trPr>
        <w:tc>
          <w:tcPr>
            <w:tcW w:w="1080" w:type="dxa"/>
            <w:shd w:val="clear" w:color="auto" w:fill="auto"/>
            <w:noWrap/>
            <w:hideMark/>
          </w:tcPr>
          <w:p w:rsidR="00910A46" w:rsidRPr="00910A46" w:rsidRDefault="00910A46" w:rsidP="00910A46">
            <w:pPr>
              <w:jc w:val="center"/>
              <w:rPr>
                <w:rFonts w:ascii="Calibri" w:eastAsia="Times New Roman" w:hAnsi="Calibri" w:cs="Calibri"/>
                <w:color w:val="000000"/>
                <w:lang w:eastAsia="en-GB"/>
              </w:rPr>
            </w:pPr>
          </w:p>
        </w:tc>
        <w:tc>
          <w:tcPr>
            <w:tcW w:w="1300" w:type="dxa"/>
            <w:shd w:val="clear" w:color="auto" w:fill="auto"/>
            <w:noWrap/>
            <w:hideMark/>
          </w:tcPr>
          <w:p w:rsidR="00910A46" w:rsidRPr="00910A46" w:rsidRDefault="00910A46" w:rsidP="00910A46">
            <w:pPr>
              <w:jc w:val="center"/>
              <w:rPr>
                <w:rFonts w:ascii="Calibri" w:eastAsia="Times New Roman" w:hAnsi="Calibri" w:cs="Calibri"/>
                <w:color w:val="000000"/>
                <w:lang w:eastAsia="en-GB"/>
              </w:rPr>
            </w:pPr>
            <w:r w:rsidRPr="00910A46">
              <w:rPr>
                <w:rFonts w:ascii="Calibri" w:eastAsia="Times New Roman" w:hAnsi="Calibri" w:cs="Calibri"/>
                <w:color w:val="000000"/>
                <w:lang w:eastAsia="en-GB"/>
              </w:rPr>
              <w:t>5-Gen COI</w:t>
            </w:r>
          </w:p>
        </w:tc>
        <w:tc>
          <w:tcPr>
            <w:tcW w:w="1580" w:type="dxa"/>
            <w:shd w:val="clear" w:color="auto" w:fill="auto"/>
            <w:noWrap/>
            <w:hideMark/>
          </w:tcPr>
          <w:p w:rsidR="00910A46" w:rsidRPr="00910A46" w:rsidRDefault="00910A46" w:rsidP="00910A46">
            <w:pPr>
              <w:jc w:val="center"/>
              <w:rPr>
                <w:rFonts w:ascii="Calibri" w:eastAsia="Times New Roman" w:hAnsi="Calibri" w:cs="Calibri"/>
                <w:color w:val="000000"/>
                <w:lang w:eastAsia="en-GB"/>
              </w:rPr>
            </w:pPr>
            <w:r w:rsidRPr="00910A46">
              <w:rPr>
                <w:rFonts w:ascii="Calibri" w:eastAsia="Times New Roman" w:hAnsi="Calibri" w:cs="Calibri"/>
                <w:color w:val="000000"/>
                <w:lang w:eastAsia="en-GB"/>
              </w:rPr>
              <w:t>10-Gen COI</w:t>
            </w:r>
          </w:p>
        </w:tc>
        <w:tc>
          <w:tcPr>
            <w:tcW w:w="1080" w:type="dxa"/>
            <w:shd w:val="clear" w:color="auto" w:fill="auto"/>
            <w:noWrap/>
            <w:hideMark/>
          </w:tcPr>
          <w:p w:rsidR="00910A46" w:rsidRPr="00910A46" w:rsidRDefault="00910A46" w:rsidP="00910A46">
            <w:pPr>
              <w:jc w:val="center"/>
              <w:rPr>
                <w:rFonts w:ascii="Calibri" w:eastAsia="Times New Roman" w:hAnsi="Calibri" w:cs="Calibri"/>
                <w:color w:val="000000"/>
                <w:lang w:eastAsia="en-GB"/>
              </w:rPr>
            </w:pPr>
            <w:r w:rsidRPr="00910A46">
              <w:rPr>
                <w:rFonts w:ascii="Calibri" w:eastAsia="Times New Roman" w:hAnsi="Calibri" w:cs="Calibri"/>
                <w:color w:val="000000"/>
                <w:lang w:eastAsia="en-GB"/>
              </w:rPr>
              <w:t>KC COI</w:t>
            </w:r>
          </w:p>
        </w:tc>
        <w:tc>
          <w:tcPr>
            <w:tcW w:w="2568" w:type="dxa"/>
            <w:shd w:val="clear" w:color="auto" w:fill="auto"/>
            <w:hideMark/>
          </w:tcPr>
          <w:p w:rsidR="00910A46" w:rsidRDefault="00910A46" w:rsidP="00910A46">
            <w:pPr>
              <w:jc w:val="center"/>
              <w:rPr>
                <w:rFonts w:ascii="Calibri" w:eastAsia="Times New Roman" w:hAnsi="Calibri" w:cs="Calibri"/>
                <w:color w:val="000000"/>
                <w:lang w:eastAsia="en-GB"/>
              </w:rPr>
            </w:pPr>
            <w:r w:rsidRPr="00910A46">
              <w:rPr>
                <w:rFonts w:ascii="Calibri" w:eastAsia="Times New Roman" w:hAnsi="Calibri" w:cs="Calibri"/>
                <w:color w:val="000000"/>
                <w:lang w:eastAsia="en-GB"/>
              </w:rPr>
              <w:t xml:space="preserve">Average COI </w:t>
            </w:r>
            <w:r>
              <w:rPr>
                <w:rFonts w:ascii="Calibri" w:eastAsia="Times New Roman" w:hAnsi="Calibri" w:cs="Calibri"/>
                <w:color w:val="000000"/>
                <w:lang w:eastAsia="en-GB"/>
              </w:rPr>
              <w:t>p</w:t>
            </w:r>
            <w:r w:rsidRPr="00910A46">
              <w:rPr>
                <w:rFonts w:ascii="Calibri" w:eastAsia="Times New Roman" w:hAnsi="Calibri" w:cs="Calibri"/>
                <w:color w:val="000000"/>
                <w:lang w:eastAsia="en-GB"/>
              </w:rPr>
              <w:t xml:space="preserve">ublished </w:t>
            </w:r>
          </w:p>
          <w:p w:rsidR="00910A46" w:rsidRPr="00910A46" w:rsidRDefault="00910A46" w:rsidP="00910A46">
            <w:pPr>
              <w:jc w:val="center"/>
              <w:rPr>
                <w:rFonts w:ascii="Calibri" w:eastAsia="Times New Roman" w:hAnsi="Calibri" w:cs="Calibri"/>
                <w:color w:val="000000"/>
                <w:lang w:eastAsia="en-GB"/>
              </w:rPr>
            </w:pPr>
            <w:r>
              <w:rPr>
                <w:rFonts w:ascii="Calibri" w:eastAsia="Times New Roman" w:hAnsi="Calibri" w:cs="Calibri"/>
                <w:color w:val="000000"/>
                <w:lang w:eastAsia="en-GB"/>
              </w:rPr>
              <w:t>on</w:t>
            </w:r>
            <w:r w:rsidRPr="00910A46">
              <w:rPr>
                <w:rFonts w:ascii="Calibri" w:eastAsia="Times New Roman" w:hAnsi="Calibri" w:cs="Calibri"/>
                <w:color w:val="000000"/>
                <w:lang w:eastAsia="en-GB"/>
              </w:rPr>
              <w:t xml:space="preserve"> KC </w:t>
            </w:r>
            <w:r>
              <w:rPr>
                <w:rFonts w:ascii="Calibri" w:eastAsia="Times New Roman" w:hAnsi="Calibri" w:cs="Calibri"/>
                <w:color w:val="000000"/>
                <w:lang w:eastAsia="en-GB"/>
              </w:rPr>
              <w:t>website</w:t>
            </w:r>
          </w:p>
        </w:tc>
      </w:tr>
      <w:tr w:rsidR="00910A46" w:rsidRPr="00910A46" w:rsidTr="00910A46">
        <w:trPr>
          <w:trHeight w:val="300"/>
          <w:jc w:val="center"/>
        </w:trPr>
        <w:tc>
          <w:tcPr>
            <w:tcW w:w="1080" w:type="dxa"/>
            <w:shd w:val="clear" w:color="auto" w:fill="auto"/>
            <w:noWrap/>
            <w:hideMark/>
          </w:tcPr>
          <w:p w:rsidR="00910A46" w:rsidRPr="00910A46" w:rsidRDefault="00910A46" w:rsidP="00910A46">
            <w:pPr>
              <w:jc w:val="center"/>
              <w:rPr>
                <w:rFonts w:ascii="Calibri" w:eastAsia="Times New Roman" w:hAnsi="Calibri" w:cs="Calibri"/>
                <w:color w:val="000000"/>
                <w:lang w:eastAsia="en-GB"/>
              </w:rPr>
            </w:pPr>
            <w:r w:rsidRPr="00910A46">
              <w:rPr>
                <w:rFonts w:ascii="Calibri" w:eastAsia="Times New Roman" w:hAnsi="Calibri" w:cs="Calibri"/>
                <w:color w:val="000000"/>
                <w:lang w:eastAsia="en-GB"/>
              </w:rPr>
              <w:t>2013</w:t>
            </w:r>
          </w:p>
        </w:tc>
        <w:tc>
          <w:tcPr>
            <w:tcW w:w="1300" w:type="dxa"/>
            <w:shd w:val="clear" w:color="auto" w:fill="auto"/>
            <w:noWrap/>
            <w:hideMark/>
          </w:tcPr>
          <w:p w:rsidR="00910A46" w:rsidRPr="00910A46" w:rsidRDefault="00910A46" w:rsidP="00910A46">
            <w:pPr>
              <w:jc w:val="center"/>
              <w:rPr>
                <w:rFonts w:ascii="Calibri" w:eastAsia="Times New Roman" w:hAnsi="Calibri" w:cs="Calibri"/>
                <w:color w:val="000000"/>
                <w:lang w:eastAsia="en-GB"/>
              </w:rPr>
            </w:pPr>
            <w:r w:rsidRPr="00910A46">
              <w:rPr>
                <w:rFonts w:ascii="Calibri" w:eastAsia="Times New Roman" w:hAnsi="Calibri" w:cs="Calibri"/>
                <w:color w:val="000000"/>
                <w:lang w:eastAsia="en-GB"/>
              </w:rPr>
              <w:t>10.5%</w:t>
            </w:r>
          </w:p>
        </w:tc>
        <w:tc>
          <w:tcPr>
            <w:tcW w:w="1580" w:type="dxa"/>
            <w:shd w:val="clear" w:color="auto" w:fill="auto"/>
            <w:noWrap/>
            <w:hideMark/>
          </w:tcPr>
          <w:p w:rsidR="00910A46" w:rsidRPr="00910A46" w:rsidRDefault="00910A46" w:rsidP="00910A46">
            <w:pPr>
              <w:jc w:val="center"/>
              <w:rPr>
                <w:rFonts w:ascii="Calibri" w:eastAsia="Times New Roman" w:hAnsi="Calibri" w:cs="Calibri"/>
                <w:color w:val="000000"/>
                <w:lang w:eastAsia="en-GB"/>
              </w:rPr>
            </w:pPr>
            <w:r w:rsidRPr="00910A46">
              <w:rPr>
                <w:rFonts w:ascii="Calibri" w:eastAsia="Times New Roman" w:hAnsi="Calibri" w:cs="Calibri"/>
                <w:color w:val="000000"/>
                <w:lang w:eastAsia="en-GB"/>
              </w:rPr>
              <w:t>20.2%</w:t>
            </w:r>
          </w:p>
        </w:tc>
        <w:tc>
          <w:tcPr>
            <w:tcW w:w="1080" w:type="dxa"/>
            <w:shd w:val="clear" w:color="auto" w:fill="auto"/>
            <w:noWrap/>
            <w:hideMark/>
          </w:tcPr>
          <w:p w:rsidR="00910A46" w:rsidRPr="00910A46" w:rsidRDefault="00910A46" w:rsidP="00910A46">
            <w:pPr>
              <w:jc w:val="center"/>
              <w:rPr>
                <w:rFonts w:ascii="Calibri" w:eastAsia="Times New Roman" w:hAnsi="Calibri" w:cs="Calibri"/>
                <w:color w:val="000000"/>
                <w:lang w:eastAsia="en-GB"/>
              </w:rPr>
            </w:pPr>
          </w:p>
        </w:tc>
        <w:tc>
          <w:tcPr>
            <w:tcW w:w="2568" w:type="dxa"/>
            <w:shd w:val="clear" w:color="auto" w:fill="auto"/>
            <w:noWrap/>
            <w:hideMark/>
          </w:tcPr>
          <w:p w:rsidR="00910A46" w:rsidRPr="00910A46" w:rsidRDefault="00910A46" w:rsidP="00910A46">
            <w:pPr>
              <w:jc w:val="center"/>
              <w:rPr>
                <w:rFonts w:ascii="Calibri" w:eastAsia="Times New Roman" w:hAnsi="Calibri" w:cs="Calibri"/>
                <w:color w:val="000000"/>
                <w:lang w:eastAsia="en-GB"/>
              </w:rPr>
            </w:pPr>
            <w:r w:rsidRPr="00910A46">
              <w:rPr>
                <w:rFonts w:ascii="Calibri" w:eastAsia="Times New Roman" w:hAnsi="Calibri" w:cs="Calibri"/>
                <w:color w:val="000000"/>
                <w:lang w:eastAsia="en-GB"/>
              </w:rPr>
              <w:t>18.2%</w:t>
            </w:r>
          </w:p>
        </w:tc>
      </w:tr>
      <w:tr w:rsidR="00910A46" w:rsidRPr="00910A46" w:rsidTr="00910A46">
        <w:trPr>
          <w:trHeight w:val="300"/>
          <w:jc w:val="center"/>
        </w:trPr>
        <w:tc>
          <w:tcPr>
            <w:tcW w:w="1080" w:type="dxa"/>
            <w:shd w:val="clear" w:color="auto" w:fill="auto"/>
            <w:noWrap/>
            <w:hideMark/>
          </w:tcPr>
          <w:p w:rsidR="00910A46" w:rsidRPr="00910A46" w:rsidRDefault="00910A46" w:rsidP="00910A46">
            <w:pPr>
              <w:jc w:val="center"/>
              <w:rPr>
                <w:rFonts w:ascii="Calibri" w:eastAsia="Times New Roman" w:hAnsi="Calibri" w:cs="Calibri"/>
                <w:color w:val="000000"/>
                <w:lang w:eastAsia="en-GB"/>
              </w:rPr>
            </w:pPr>
            <w:r w:rsidRPr="00910A46">
              <w:rPr>
                <w:rFonts w:ascii="Calibri" w:eastAsia="Times New Roman" w:hAnsi="Calibri" w:cs="Calibri"/>
                <w:color w:val="000000"/>
                <w:lang w:eastAsia="en-GB"/>
              </w:rPr>
              <w:t>2014</w:t>
            </w:r>
          </w:p>
        </w:tc>
        <w:tc>
          <w:tcPr>
            <w:tcW w:w="1300" w:type="dxa"/>
            <w:shd w:val="clear" w:color="auto" w:fill="auto"/>
            <w:noWrap/>
            <w:hideMark/>
          </w:tcPr>
          <w:p w:rsidR="00910A46" w:rsidRPr="00910A46" w:rsidRDefault="00910A46" w:rsidP="00910A46">
            <w:pPr>
              <w:jc w:val="center"/>
              <w:rPr>
                <w:rFonts w:ascii="Calibri" w:eastAsia="Times New Roman" w:hAnsi="Calibri" w:cs="Calibri"/>
                <w:color w:val="000000"/>
                <w:lang w:eastAsia="en-GB"/>
              </w:rPr>
            </w:pPr>
            <w:r w:rsidRPr="00910A46">
              <w:rPr>
                <w:rFonts w:ascii="Calibri" w:eastAsia="Times New Roman" w:hAnsi="Calibri" w:cs="Calibri"/>
                <w:color w:val="000000"/>
                <w:lang w:eastAsia="en-GB"/>
              </w:rPr>
              <w:t>11.9%</w:t>
            </w:r>
          </w:p>
        </w:tc>
        <w:tc>
          <w:tcPr>
            <w:tcW w:w="1580" w:type="dxa"/>
            <w:shd w:val="clear" w:color="auto" w:fill="auto"/>
            <w:noWrap/>
            <w:hideMark/>
          </w:tcPr>
          <w:p w:rsidR="00910A46" w:rsidRPr="00910A46" w:rsidRDefault="00910A46" w:rsidP="00910A46">
            <w:pPr>
              <w:jc w:val="center"/>
              <w:rPr>
                <w:rFonts w:ascii="Calibri" w:eastAsia="Times New Roman" w:hAnsi="Calibri" w:cs="Calibri"/>
                <w:color w:val="000000"/>
                <w:lang w:eastAsia="en-GB"/>
              </w:rPr>
            </w:pPr>
            <w:r w:rsidRPr="00910A46">
              <w:rPr>
                <w:rFonts w:ascii="Calibri" w:eastAsia="Times New Roman" w:hAnsi="Calibri" w:cs="Calibri"/>
                <w:color w:val="000000"/>
                <w:lang w:eastAsia="en-GB"/>
              </w:rPr>
              <w:t>21.8%</w:t>
            </w:r>
          </w:p>
        </w:tc>
        <w:tc>
          <w:tcPr>
            <w:tcW w:w="1080" w:type="dxa"/>
            <w:shd w:val="clear" w:color="auto" w:fill="auto"/>
            <w:noWrap/>
            <w:hideMark/>
          </w:tcPr>
          <w:p w:rsidR="00910A46" w:rsidRPr="00910A46" w:rsidRDefault="00910A46" w:rsidP="00910A46">
            <w:pPr>
              <w:jc w:val="center"/>
              <w:rPr>
                <w:rFonts w:ascii="Calibri" w:eastAsia="Times New Roman" w:hAnsi="Calibri" w:cs="Calibri"/>
                <w:color w:val="000000"/>
                <w:lang w:eastAsia="en-GB"/>
              </w:rPr>
            </w:pPr>
            <w:r w:rsidRPr="00910A46">
              <w:rPr>
                <w:rFonts w:ascii="Calibri" w:eastAsia="Times New Roman" w:hAnsi="Calibri" w:cs="Calibri"/>
                <w:color w:val="000000"/>
                <w:lang w:eastAsia="en-GB"/>
              </w:rPr>
              <w:t>19.3%</w:t>
            </w:r>
          </w:p>
        </w:tc>
        <w:tc>
          <w:tcPr>
            <w:tcW w:w="2568" w:type="dxa"/>
            <w:shd w:val="clear" w:color="auto" w:fill="auto"/>
            <w:noWrap/>
            <w:hideMark/>
          </w:tcPr>
          <w:p w:rsidR="00910A46" w:rsidRPr="00910A46" w:rsidRDefault="00910A46" w:rsidP="00910A46">
            <w:pPr>
              <w:jc w:val="center"/>
              <w:rPr>
                <w:rFonts w:ascii="Calibri" w:eastAsia="Times New Roman" w:hAnsi="Calibri" w:cs="Calibri"/>
                <w:color w:val="000000"/>
                <w:lang w:eastAsia="en-GB"/>
              </w:rPr>
            </w:pPr>
            <w:r w:rsidRPr="00910A46">
              <w:rPr>
                <w:rFonts w:ascii="Calibri" w:eastAsia="Times New Roman" w:hAnsi="Calibri" w:cs="Calibri"/>
                <w:color w:val="000000"/>
                <w:lang w:eastAsia="en-GB"/>
              </w:rPr>
              <w:t>18.5%</w:t>
            </w:r>
          </w:p>
        </w:tc>
      </w:tr>
      <w:tr w:rsidR="00910A46" w:rsidRPr="00910A46" w:rsidTr="00910A46">
        <w:trPr>
          <w:trHeight w:val="300"/>
          <w:jc w:val="center"/>
        </w:trPr>
        <w:tc>
          <w:tcPr>
            <w:tcW w:w="1080" w:type="dxa"/>
            <w:shd w:val="clear" w:color="auto" w:fill="auto"/>
            <w:noWrap/>
            <w:hideMark/>
          </w:tcPr>
          <w:p w:rsidR="00910A46" w:rsidRPr="00910A46" w:rsidRDefault="00910A46" w:rsidP="00910A46">
            <w:pPr>
              <w:jc w:val="center"/>
              <w:rPr>
                <w:rFonts w:ascii="Calibri" w:eastAsia="Times New Roman" w:hAnsi="Calibri" w:cs="Calibri"/>
                <w:color w:val="000000"/>
                <w:lang w:eastAsia="en-GB"/>
              </w:rPr>
            </w:pPr>
            <w:r w:rsidRPr="00910A46">
              <w:rPr>
                <w:rFonts w:ascii="Calibri" w:eastAsia="Times New Roman" w:hAnsi="Calibri" w:cs="Calibri"/>
                <w:color w:val="000000"/>
                <w:lang w:eastAsia="en-GB"/>
              </w:rPr>
              <w:t>2015</w:t>
            </w:r>
          </w:p>
        </w:tc>
        <w:tc>
          <w:tcPr>
            <w:tcW w:w="1300" w:type="dxa"/>
            <w:shd w:val="clear" w:color="auto" w:fill="auto"/>
            <w:noWrap/>
            <w:hideMark/>
          </w:tcPr>
          <w:p w:rsidR="00910A46" w:rsidRPr="00910A46" w:rsidRDefault="00910A46" w:rsidP="00910A46">
            <w:pPr>
              <w:jc w:val="center"/>
              <w:rPr>
                <w:rFonts w:ascii="Calibri" w:eastAsia="Times New Roman" w:hAnsi="Calibri" w:cs="Calibri"/>
                <w:color w:val="000000"/>
                <w:lang w:eastAsia="en-GB"/>
              </w:rPr>
            </w:pPr>
            <w:r w:rsidRPr="00910A46">
              <w:rPr>
                <w:rFonts w:ascii="Calibri" w:eastAsia="Times New Roman" w:hAnsi="Calibri" w:cs="Calibri"/>
                <w:color w:val="000000"/>
                <w:lang w:eastAsia="en-GB"/>
              </w:rPr>
              <w:t>12.5%</w:t>
            </w:r>
          </w:p>
        </w:tc>
        <w:tc>
          <w:tcPr>
            <w:tcW w:w="1580" w:type="dxa"/>
            <w:shd w:val="clear" w:color="auto" w:fill="auto"/>
            <w:noWrap/>
            <w:hideMark/>
          </w:tcPr>
          <w:p w:rsidR="00910A46" w:rsidRPr="00910A46" w:rsidRDefault="00910A46" w:rsidP="00910A46">
            <w:pPr>
              <w:jc w:val="center"/>
              <w:rPr>
                <w:rFonts w:ascii="Calibri" w:eastAsia="Times New Roman" w:hAnsi="Calibri" w:cs="Calibri"/>
                <w:color w:val="000000"/>
                <w:lang w:eastAsia="en-GB"/>
              </w:rPr>
            </w:pPr>
            <w:r w:rsidRPr="00910A46">
              <w:rPr>
                <w:rFonts w:ascii="Calibri" w:eastAsia="Times New Roman" w:hAnsi="Calibri" w:cs="Calibri"/>
                <w:color w:val="000000"/>
                <w:lang w:eastAsia="en-GB"/>
              </w:rPr>
              <w:t>21.3%</w:t>
            </w:r>
          </w:p>
        </w:tc>
        <w:tc>
          <w:tcPr>
            <w:tcW w:w="1080" w:type="dxa"/>
            <w:shd w:val="clear" w:color="auto" w:fill="auto"/>
            <w:noWrap/>
            <w:hideMark/>
          </w:tcPr>
          <w:p w:rsidR="00910A46" w:rsidRPr="00910A46" w:rsidRDefault="00910A46" w:rsidP="00910A46">
            <w:pPr>
              <w:jc w:val="center"/>
              <w:rPr>
                <w:rFonts w:ascii="Calibri" w:eastAsia="Times New Roman" w:hAnsi="Calibri" w:cs="Calibri"/>
                <w:color w:val="000000"/>
                <w:lang w:eastAsia="en-GB"/>
              </w:rPr>
            </w:pPr>
            <w:r w:rsidRPr="00910A46">
              <w:rPr>
                <w:rFonts w:ascii="Calibri" w:eastAsia="Times New Roman" w:hAnsi="Calibri" w:cs="Calibri"/>
                <w:color w:val="000000"/>
                <w:lang w:eastAsia="en-GB"/>
              </w:rPr>
              <w:t>19.5%</w:t>
            </w:r>
          </w:p>
        </w:tc>
        <w:tc>
          <w:tcPr>
            <w:tcW w:w="2568" w:type="dxa"/>
            <w:shd w:val="clear" w:color="auto" w:fill="auto"/>
            <w:noWrap/>
            <w:hideMark/>
          </w:tcPr>
          <w:p w:rsidR="00910A46" w:rsidRPr="00910A46" w:rsidRDefault="00910A46" w:rsidP="00910A46">
            <w:pPr>
              <w:jc w:val="center"/>
              <w:rPr>
                <w:rFonts w:ascii="Calibri" w:eastAsia="Times New Roman" w:hAnsi="Calibri" w:cs="Calibri"/>
                <w:color w:val="000000"/>
                <w:lang w:eastAsia="en-GB"/>
              </w:rPr>
            </w:pPr>
            <w:r w:rsidRPr="00910A46">
              <w:rPr>
                <w:rFonts w:ascii="Calibri" w:eastAsia="Times New Roman" w:hAnsi="Calibri" w:cs="Calibri"/>
                <w:color w:val="000000"/>
                <w:lang w:eastAsia="en-GB"/>
              </w:rPr>
              <w:t>19.1%</w:t>
            </w:r>
          </w:p>
        </w:tc>
      </w:tr>
    </w:tbl>
    <w:p w:rsidR="00FB17EF" w:rsidRPr="00D405FB" w:rsidRDefault="00FB17EF" w:rsidP="00FB2991">
      <w:pPr>
        <w:jc w:val="both"/>
      </w:pPr>
    </w:p>
    <w:p w:rsidR="00F877F2" w:rsidRPr="00D405FB" w:rsidRDefault="00F877F2" w:rsidP="00FB2991">
      <w:pPr>
        <w:jc w:val="both"/>
      </w:pPr>
    </w:p>
    <w:p w:rsidR="00B422A5" w:rsidRPr="00D405FB" w:rsidRDefault="00F8584F" w:rsidP="00FB2991">
      <w:pPr>
        <w:jc w:val="both"/>
      </w:pPr>
      <w:r w:rsidRPr="00D405FB">
        <w:t xml:space="preserve">On the Kennel </w:t>
      </w:r>
      <w:r w:rsidR="00BD735F" w:rsidRPr="00D405FB">
        <w:t xml:space="preserve">Club </w:t>
      </w:r>
      <w:r w:rsidR="00D405FB">
        <w:t>Mate</w:t>
      </w:r>
      <w:r w:rsidR="00FB17EF">
        <w:t xml:space="preserve"> </w:t>
      </w:r>
      <w:r w:rsidR="00D405FB">
        <w:t xml:space="preserve">Select </w:t>
      </w:r>
      <w:r w:rsidRPr="00D405FB">
        <w:t>website</w:t>
      </w:r>
      <w:r w:rsidR="00E15EB1" w:rsidRPr="00D405FB">
        <w:t>,</w:t>
      </w:r>
      <w:r w:rsidRPr="00D405FB">
        <w:t xml:space="preserve"> </w:t>
      </w:r>
      <w:r w:rsidR="00633BFB" w:rsidRPr="00D405FB">
        <w:t>i</w:t>
      </w:r>
      <w:r w:rsidRPr="00D405FB">
        <w:t xml:space="preserve">n its </w:t>
      </w:r>
      <w:r w:rsidR="00B422A5" w:rsidRPr="00D405FB">
        <w:t>section on breed averages for COI</w:t>
      </w:r>
      <w:r w:rsidR="00633BFB" w:rsidRPr="00D405FB">
        <w:t xml:space="preserve">, it highlights three key measurements for COI </w:t>
      </w:r>
      <w:r w:rsidR="00B422A5" w:rsidRPr="00D405FB">
        <w:t>which are:</w:t>
      </w:r>
    </w:p>
    <w:p w:rsidR="00FB17EF" w:rsidRDefault="00FB17EF" w:rsidP="00FB2991">
      <w:pPr>
        <w:ind w:left="720"/>
        <w:jc w:val="both"/>
      </w:pPr>
    </w:p>
    <w:p w:rsidR="00B422A5" w:rsidRPr="00D405FB" w:rsidRDefault="00B422A5" w:rsidP="00FB2991">
      <w:pPr>
        <w:ind w:left="720"/>
        <w:jc w:val="both"/>
      </w:pPr>
      <w:r w:rsidRPr="00D405FB">
        <w:t xml:space="preserve">0% which </w:t>
      </w:r>
      <w:r w:rsidR="00633BFB" w:rsidRPr="00D405FB">
        <w:t xml:space="preserve">indicates </w:t>
      </w:r>
      <w:r w:rsidRPr="00D405FB">
        <w:t xml:space="preserve">that the </w:t>
      </w:r>
      <w:r w:rsidR="00633BFB" w:rsidRPr="00D405FB">
        <w:t>offspring have</w:t>
      </w:r>
      <w:r w:rsidRPr="00D405FB">
        <w:t xml:space="preserve"> an unrelated sire and dam</w:t>
      </w:r>
    </w:p>
    <w:p w:rsidR="00FB17EF" w:rsidRDefault="00FB17EF" w:rsidP="00FB2991">
      <w:pPr>
        <w:ind w:left="720"/>
        <w:jc w:val="both"/>
      </w:pPr>
    </w:p>
    <w:p w:rsidR="00B422A5" w:rsidRPr="00D405FB" w:rsidRDefault="00B422A5" w:rsidP="00FB2991">
      <w:pPr>
        <w:ind w:left="720"/>
        <w:jc w:val="both"/>
      </w:pPr>
      <w:r w:rsidRPr="00D405FB">
        <w:t xml:space="preserve">12.5% which </w:t>
      </w:r>
      <w:r w:rsidR="00F508F2" w:rsidRPr="00D405FB">
        <w:t xml:space="preserve">is the “genetic equivalent” of </w:t>
      </w:r>
      <w:r w:rsidRPr="00D405FB">
        <w:t xml:space="preserve">a mating between a grandfather and </w:t>
      </w:r>
      <w:r w:rsidR="00F508F2" w:rsidRPr="00D405FB">
        <w:t>g</w:t>
      </w:r>
      <w:r w:rsidRPr="00D405FB">
        <w:t xml:space="preserve">randdaughter </w:t>
      </w:r>
    </w:p>
    <w:p w:rsidR="00FB17EF" w:rsidRDefault="00FB17EF" w:rsidP="00FB2991">
      <w:pPr>
        <w:ind w:left="720"/>
        <w:jc w:val="both"/>
      </w:pPr>
    </w:p>
    <w:p w:rsidR="00B422A5" w:rsidRPr="00D405FB" w:rsidRDefault="00BD735F" w:rsidP="00FB2991">
      <w:pPr>
        <w:ind w:left="720"/>
        <w:jc w:val="both"/>
      </w:pPr>
      <w:r w:rsidRPr="00D405FB">
        <w:t>2</w:t>
      </w:r>
      <w:r w:rsidR="00B422A5" w:rsidRPr="00D405FB">
        <w:t xml:space="preserve">5% which </w:t>
      </w:r>
      <w:r w:rsidR="00F508F2" w:rsidRPr="00D405FB">
        <w:t>is the “genetic equivalent” of</w:t>
      </w:r>
      <w:r w:rsidR="00B422A5" w:rsidRPr="00D405FB">
        <w:t xml:space="preserve"> a </w:t>
      </w:r>
      <w:r w:rsidR="00B56B5C" w:rsidRPr="00D405FB">
        <w:t>mating between a</w:t>
      </w:r>
      <w:r w:rsidR="00B422A5" w:rsidRPr="00D405FB">
        <w:t xml:space="preserve"> father and daughter</w:t>
      </w:r>
    </w:p>
    <w:p w:rsidR="00633BFB" w:rsidRPr="00D405FB" w:rsidRDefault="00633BFB" w:rsidP="00FB2991">
      <w:pPr>
        <w:ind w:left="720"/>
        <w:jc w:val="both"/>
      </w:pPr>
    </w:p>
    <w:p w:rsidR="00343A79" w:rsidRPr="00D405FB" w:rsidRDefault="00975EF1" w:rsidP="00343A79">
      <w:pPr>
        <w:jc w:val="both"/>
      </w:pPr>
      <w:r>
        <w:t xml:space="preserve">These </w:t>
      </w:r>
      <w:r w:rsidR="00120CBF" w:rsidRPr="00D405FB">
        <w:t xml:space="preserve">three categories </w:t>
      </w:r>
      <w:r>
        <w:t>have been</w:t>
      </w:r>
      <w:r w:rsidR="00120CBF" w:rsidRPr="00D405FB">
        <w:t xml:space="preserve"> used to </w:t>
      </w:r>
      <w:r>
        <w:t xml:space="preserve">compare </w:t>
      </w:r>
      <w:proofErr w:type="spellStart"/>
      <w:r w:rsidRPr="00D405FB">
        <w:t>matings</w:t>
      </w:r>
      <w:proofErr w:type="spellEnd"/>
      <w:r w:rsidRPr="00D405FB">
        <w:t xml:space="preserve"> with puppies born in 2014 and 2015 </w:t>
      </w:r>
      <w:r w:rsidR="00FB17EF">
        <w:t>to assess how the COI is changing</w:t>
      </w:r>
      <w:r w:rsidR="00343A79" w:rsidRPr="00D405FB">
        <w:t xml:space="preserve">. </w:t>
      </w:r>
      <w:r>
        <w:t xml:space="preserve"> </w:t>
      </w:r>
      <w:r w:rsidR="00343A79" w:rsidRPr="00D405FB">
        <w:t xml:space="preserve">Figure 5 </w:t>
      </w:r>
      <w:r w:rsidR="00FB17EF">
        <w:t xml:space="preserve">on the following page </w:t>
      </w:r>
      <w:r w:rsidR="0045077E">
        <w:t>shows the percentage</w:t>
      </w:r>
      <w:r w:rsidR="00343A79" w:rsidRPr="00D405FB">
        <w:t xml:space="preserve"> of </w:t>
      </w:r>
      <w:proofErr w:type="spellStart"/>
      <w:r>
        <w:t>matings</w:t>
      </w:r>
      <w:proofErr w:type="spellEnd"/>
      <w:r>
        <w:t xml:space="preserve"> that fe</w:t>
      </w:r>
      <w:r w:rsidR="00343A79" w:rsidRPr="00D405FB">
        <w:t>ll into</w:t>
      </w:r>
      <w:r w:rsidR="00FB17EF">
        <w:t xml:space="preserve"> the </w:t>
      </w:r>
      <w:r w:rsidR="00343A79" w:rsidRPr="00D405FB">
        <w:t xml:space="preserve">categories </w:t>
      </w:r>
      <w:r w:rsidR="00FB17EF">
        <w:t xml:space="preserve">separated by </w:t>
      </w:r>
      <w:r w:rsidR="00343A79" w:rsidRPr="00D405FB">
        <w:t xml:space="preserve">these </w:t>
      </w:r>
      <w:r w:rsidR="00FB17EF">
        <w:t xml:space="preserve">three </w:t>
      </w:r>
      <w:r w:rsidR="00343A79" w:rsidRPr="00D405FB">
        <w:t>key measurements.</w:t>
      </w:r>
    </w:p>
    <w:p w:rsidR="00120CBF" w:rsidRDefault="00120CBF" w:rsidP="00FB2991">
      <w:pPr>
        <w:ind w:left="720"/>
        <w:jc w:val="both"/>
      </w:pPr>
    </w:p>
    <w:p w:rsidR="0045077E" w:rsidRDefault="0045077E" w:rsidP="00FB2991">
      <w:pPr>
        <w:ind w:left="720"/>
        <w:jc w:val="both"/>
      </w:pPr>
      <w:r w:rsidRPr="0045077E">
        <w:rPr>
          <w:noProof/>
          <w:lang w:eastAsia="en-GB"/>
        </w:rPr>
        <w:lastRenderedPageBreak/>
        <w:drawing>
          <wp:inline distT="0" distB="0" distL="0" distR="0">
            <wp:extent cx="4572000" cy="2743200"/>
            <wp:effectExtent l="19050" t="0" r="19050" b="0"/>
            <wp:docPr id="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5077E" w:rsidRDefault="0045077E" w:rsidP="00FB2991">
      <w:pPr>
        <w:ind w:left="720"/>
        <w:jc w:val="both"/>
      </w:pPr>
    </w:p>
    <w:p w:rsidR="00120CBF" w:rsidRPr="00D405FB" w:rsidRDefault="00120CBF" w:rsidP="0045077E">
      <w:pPr>
        <w:jc w:val="center"/>
        <w:rPr>
          <w:b/>
          <w:i/>
        </w:rPr>
      </w:pPr>
      <w:r w:rsidRPr="00D405FB">
        <w:rPr>
          <w:b/>
          <w:i/>
        </w:rPr>
        <w:t xml:space="preserve">Figure 5 Percentage of </w:t>
      </w:r>
      <w:proofErr w:type="spellStart"/>
      <w:r w:rsidRPr="00D405FB">
        <w:rPr>
          <w:b/>
          <w:i/>
        </w:rPr>
        <w:t>matings</w:t>
      </w:r>
      <w:proofErr w:type="spellEnd"/>
      <w:r w:rsidRPr="00D405FB">
        <w:rPr>
          <w:b/>
          <w:i/>
        </w:rPr>
        <w:t xml:space="preserve"> which fall between the three categories of defining COI</w:t>
      </w:r>
    </w:p>
    <w:p w:rsidR="00343A79" w:rsidRPr="00D405FB" w:rsidRDefault="00343A79" w:rsidP="00120CBF">
      <w:pPr>
        <w:ind w:left="720"/>
        <w:jc w:val="center"/>
        <w:rPr>
          <w:b/>
          <w:i/>
        </w:rPr>
      </w:pPr>
    </w:p>
    <w:p w:rsidR="00343A79" w:rsidRPr="00D405FB" w:rsidRDefault="00343A79" w:rsidP="00FB17EF">
      <w:r w:rsidRPr="00D405FB">
        <w:t xml:space="preserve">Whilst in 2015 </w:t>
      </w:r>
      <w:r w:rsidR="00C46C08">
        <w:t>there were st</w:t>
      </w:r>
      <w:r w:rsidR="0009360C">
        <w:t xml:space="preserve">ill </w:t>
      </w:r>
      <w:r w:rsidRPr="00D405FB">
        <w:t xml:space="preserve">more than a third of </w:t>
      </w:r>
      <w:proofErr w:type="spellStart"/>
      <w:r w:rsidRPr="00D405FB">
        <w:t>matings</w:t>
      </w:r>
      <w:proofErr w:type="spellEnd"/>
      <w:r w:rsidRPr="00D405FB">
        <w:t xml:space="preserve"> </w:t>
      </w:r>
      <w:r w:rsidR="0009360C">
        <w:t>with</w:t>
      </w:r>
      <w:r w:rsidRPr="00D405FB">
        <w:t xml:space="preserve"> a KC COI of more than 25%</w:t>
      </w:r>
      <w:r w:rsidR="00C46C08">
        <w:t>,</w:t>
      </w:r>
      <w:r w:rsidRPr="00D405FB">
        <w:t xml:space="preserve"> the percentage had fallen very slightly and the number below 12.5% had risen very slightly.</w:t>
      </w:r>
    </w:p>
    <w:p w:rsidR="00120CBF" w:rsidRPr="00D405FB" w:rsidRDefault="00120CBF" w:rsidP="00120CBF">
      <w:pPr>
        <w:ind w:left="720"/>
        <w:jc w:val="center"/>
      </w:pPr>
    </w:p>
    <w:p w:rsidR="00F508F2" w:rsidRPr="00D405FB" w:rsidRDefault="00F508F2" w:rsidP="00FB2991">
      <w:pPr>
        <w:jc w:val="both"/>
      </w:pPr>
    </w:p>
    <w:p w:rsidR="00C46C08" w:rsidRDefault="00C46C08" w:rsidP="00FB2991">
      <w:pPr>
        <w:jc w:val="both"/>
        <w:rPr>
          <w:b/>
          <w:sz w:val="28"/>
          <w:szCs w:val="28"/>
        </w:rPr>
      </w:pPr>
    </w:p>
    <w:p w:rsidR="000F074B" w:rsidRPr="00D405FB" w:rsidRDefault="0009360C" w:rsidP="00FB2991">
      <w:pPr>
        <w:jc w:val="both"/>
        <w:rPr>
          <w:b/>
          <w:sz w:val="28"/>
          <w:szCs w:val="28"/>
        </w:rPr>
      </w:pPr>
      <w:r>
        <w:rPr>
          <w:b/>
          <w:sz w:val="28"/>
          <w:szCs w:val="28"/>
        </w:rPr>
        <w:t>1.</w:t>
      </w:r>
      <w:r w:rsidR="00E46035" w:rsidRPr="00D405FB">
        <w:rPr>
          <w:b/>
          <w:sz w:val="28"/>
          <w:szCs w:val="28"/>
        </w:rPr>
        <w:t>3</w:t>
      </w:r>
      <w:r w:rsidR="00E15EB1" w:rsidRPr="00D405FB">
        <w:rPr>
          <w:b/>
          <w:sz w:val="28"/>
          <w:szCs w:val="28"/>
        </w:rPr>
        <w:t xml:space="preserve">   </w:t>
      </w:r>
      <w:r w:rsidR="000F074B" w:rsidRPr="00D405FB">
        <w:rPr>
          <w:b/>
          <w:sz w:val="28"/>
          <w:szCs w:val="28"/>
        </w:rPr>
        <w:t>Popular Sires</w:t>
      </w:r>
    </w:p>
    <w:p w:rsidR="004D2DF4" w:rsidRPr="00D405FB" w:rsidRDefault="00FB17EF" w:rsidP="004D2DF4">
      <w:pPr>
        <w:jc w:val="both"/>
      </w:pPr>
      <w:r>
        <w:t>Overuse of popular sires is one of the factors which can lead to a loss of genetic diversity</w:t>
      </w:r>
      <w:r w:rsidR="0009360C">
        <w:t xml:space="preserve">. It </w:t>
      </w:r>
      <w:r>
        <w:t>can be a particular issu</w:t>
      </w:r>
      <w:r w:rsidR="00B617DA">
        <w:t>e in a numerically small breed</w:t>
      </w:r>
      <w:r w:rsidR="0009360C">
        <w:t xml:space="preserve"> and has been highlighted in previous reports</w:t>
      </w:r>
      <w:r w:rsidR="00B617DA">
        <w:t xml:space="preserve">. </w:t>
      </w:r>
    </w:p>
    <w:p w:rsidR="004D2DF4" w:rsidRPr="00D405FB" w:rsidRDefault="004D2DF4" w:rsidP="004D2DF4">
      <w:pPr>
        <w:jc w:val="both"/>
      </w:pPr>
    </w:p>
    <w:p w:rsidR="00F60A0E" w:rsidRDefault="00F60A0E" w:rsidP="00FB2991">
      <w:pPr>
        <w:jc w:val="both"/>
      </w:pPr>
      <w:r w:rsidRPr="00D405FB">
        <w:t>The 35</w:t>
      </w:r>
      <w:r w:rsidR="000F074B" w:rsidRPr="00D405FB">
        <w:t xml:space="preserve"> litters born in 201</w:t>
      </w:r>
      <w:r w:rsidRPr="00D405FB">
        <w:t>5</w:t>
      </w:r>
      <w:r w:rsidR="000B06F4">
        <w:t xml:space="preserve"> had been produced by 29</w:t>
      </w:r>
      <w:r w:rsidR="000F074B" w:rsidRPr="00D405FB">
        <w:t xml:space="preserve"> sires. The table below shows </w:t>
      </w:r>
      <w:r w:rsidRPr="00D405FB">
        <w:t xml:space="preserve">the </w:t>
      </w:r>
      <w:r w:rsidR="0009360C">
        <w:t>four most prolific sires</w:t>
      </w:r>
      <w:r w:rsidR="008A371B">
        <w:t xml:space="preserve"> in the year</w:t>
      </w:r>
      <w:r w:rsidR="0009360C">
        <w:t xml:space="preserve"> </w:t>
      </w:r>
      <w:proofErr w:type="gramStart"/>
      <w:r w:rsidR="0009360C">
        <w:t>who</w:t>
      </w:r>
      <w:proofErr w:type="gramEnd"/>
      <w:r w:rsidR="008A371B">
        <w:t xml:space="preserve"> together produced </w:t>
      </w:r>
      <w:r w:rsidR="00DD4D6E">
        <w:t>29%</w:t>
      </w:r>
      <w:r w:rsidR="008A371B">
        <w:t xml:space="preserve"> of the total puppies born</w:t>
      </w:r>
      <w:r w:rsidRPr="00D405FB">
        <w:t>.</w:t>
      </w:r>
    </w:p>
    <w:p w:rsidR="00DD4D6E" w:rsidRPr="00D405FB" w:rsidRDefault="00DD4D6E" w:rsidP="00FB2991">
      <w:pPr>
        <w:jc w:val="both"/>
      </w:pPr>
    </w:p>
    <w:tbl>
      <w:tblPr>
        <w:tblW w:w="6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2"/>
        <w:gridCol w:w="1384"/>
        <w:gridCol w:w="1599"/>
      </w:tblGrid>
      <w:tr w:rsidR="000B06F4" w:rsidRPr="000B06F4" w:rsidTr="00DD4D6E">
        <w:trPr>
          <w:trHeight w:val="300"/>
          <w:jc w:val="center"/>
        </w:trPr>
        <w:tc>
          <w:tcPr>
            <w:tcW w:w="3132" w:type="dxa"/>
            <w:shd w:val="clear" w:color="auto" w:fill="auto"/>
            <w:noWrap/>
            <w:vAlign w:val="bottom"/>
            <w:hideMark/>
          </w:tcPr>
          <w:p w:rsidR="000B06F4" w:rsidRPr="000B06F4" w:rsidRDefault="000B06F4" w:rsidP="00DD4D6E">
            <w:pPr>
              <w:jc w:val="center"/>
              <w:rPr>
                <w:rFonts w:ascii="Calibri" w:eastAsia="Times New Roman" w:hAnsi="Calibri" w:cs="Calibri"/>
                <w:b/>
                <w:color w:val="000000"/>
                <w:lang w:eastAsia="en-GB"/>
              </w:rPr>
            </w:pPr>
          </w:p>
        </w:tc>
        <w:tc>
          <w:tcPr>
            <w:tcW w:w="1384" w:type="dxa"/>
            <w:shd w:val="clear" w:color="auto" w:fill="auto"/>
            <w:noWrap/>
            <w:vAlign w:val="bottom"/>
            <w:hideMark/>
          </w:tcPr>
          <w:p w:rsidR="000B06F4" w:rsidRPr="000B06F4" w:rsidRDefault="00DD4D6E" w:rsidP="00DD4D6E">
            <w:pPr>
              <w:jc w:val="center"/>
              <w:rPr>
                <w:rFonts w:ascii="Calibri" w:eastAsia="Times New Roman" w:hAnsi="Calibri" w:cs="Calibri"/>
                <w:b/>
                <w:color w:val="000000"/>
                <w:lang w:eastAsia="en-GB"/>
              </w:rPr>
            </w:pPr>
            <w:r w:rsidRPr="00DD4D6E">
              <w:rPr>
                <w:rFonts w:ascii="Calibri" w:eastAsia="Times New Roman" w:hAnsi="Calibri" w:cs="Calibri"/>
                <w:b/>
                <w:color w:val="000000"/>
                <w:lang w:eastAsia="en-GB"/>
              </w:rPr>
              <w:t xml:space="preserve">Total </w:t>
            </w:r>
            <w:r w:rsidR="000B06F4" w:rsidRPr="000B06F4">
              <w:rPr>
                <w:rFonts w:ascii="Calibri" w:eastAsia="Times New Roman" w:hAnsi="Calibri" w:cs="Calibri"/>
                <w:b/>
                <w:color w:val="000000"/>
                <w:lang w:eastAsia="en-GB"/>
              </w:rPr>
              <w:t>litters</w:t>
            </w:r>
          </w:p>
        </w:tc>
        <w:tc>
          <w:tcPr>
            <w:tcW w:w="1599" w:type="dxa"/>
            <w:shd w:val="clear" w:color="auto" w:fill="auto"/>
            <w:noWrap/>
            <w:vAlign w:val="bottom"/>
            <w:hideMark/>
          </w:tcPr>
          <w:p w:rsidR="000B06F4" w:rsidRPr="000B06F4" w:rsidRDefault="00DD4D6E" w:rsidP="00DD4D6E">
            <w:pPr>
              <w:jc w:val="center"/>
              <w:rPr>
                <w:rFonts w:ascii="Calibri" w:eastAsia="Times New Roman" w:hAnsi="Calibri" w:cs="Calibri"/>
                <w:b/>
                <w:color w:val="000000"/>
                <w:lang w:eastAsia="en-GB"/>
              </w:rPr>
            </w:pPr>
            <w:r w:rsidRPr="00DD4D6E">
              <w:rPr>
                <w:rFonts w:ascii="Calibri" w:eastAsia="Times New Roman" w:hAnsi="Calibri" w:cs="Calibri"/>
                <w:b/>
                <w:color w:val="000000"/>
                <w:lang w:eastAsia="en-GB"/>
              </w:rPr>
              <w:t xml:space="preserve">Total </w:t>
            </w:r>
            <w:r w:rsidR="000B06F4" w:rsidRPr="000B06F4">
              <w:rPr>
                <w:rFonts w:ascii="Calibri" w:eastAsia="Times New Roman" w:hAnsi="Calibri" w:cs="Calibri"/>
                <w:b/>
                <w:color w:val="000000"/>
                <w:lang w:eastAsia="en-GB"/>
              </w:rPr>
              <w:t>puppies</w:t>
            </w:r>
          </w:p>
        </w:tc>
      </w:tr>
      <w:tr w:rsidR="000B06F4" w:rsidRPr="000B06F4" w:rsidTr="00DD4D6E">
        <w:trPr>
          <w:trHeight w:val="300"/>
          <w:jc w:val="center"/>
        </w:trPr>
        <w:tc>
          <w:tcPr>
            <w:tcW w:w="3132" w:type="dxa"/>
            <w:shd w:val="clear" w:color="auto" w:fill="auto"/>
            <w:noWrap/>
            <w:vAlign w:val="bottom"/>
            <w:hideMark/>
          </w:tcPr>
          <w:p w:rsidR="000B06F4" w:rsidRPr="000B06F4" w:rsidRDefault="000B06F4" w:rsidP="000B06F4">
            <w:pPr>
              <w:rPr>
                <w:rFonts w:ascii="Calibri" w:eastAsia="Times New Roman" w:hAnsi="Calibri" w:cs="Calibri"/>
                <w:color w:val="000000"/>
                <w:lang w:eastAsia="en-GB"/>
              </w:rPr>
            </w:pPr>
            <w:r w:rsidRPr="000B06F4">
              <w:rPr>
                <w:rFonts w:ascii="Calibri" w:eastAsia="Times New Roman" w:hAnsi="Calibri" w:cs="Calibri"/>
                <w:color w:val="000000"/>
                <w:lang w:eastAsia="en-GB"/>
              </w:rPr>
              <w:t>BOMBAY GRIFFITHII</w:t>
            </w:r>
          </w:p>
        </w:tc>
        <w:tc>
          <w:tcPr>
            <w:tcW w:w="1384" w:type="dxa"/>
            <w:shd w:val="clear" w:color="auto" w:fill="auto"/>
            <w:noWrap/>
            <w:vAlign w:val="bottom"/>
            <w:hideMark/>
          </w:tcPr>
          <w:p w:rsidR="000B06F4" w:rsidRPr="000B06F4" w:rsidRDefault="000B06F4" w:rsidP="00DD4D6E">
            <w:pPr>
              <w:jc w:val="center"/>
              <w:rPr>
                <w:rFonts w:ascii="Calibri" w:eastAsia="Times New Roman" w:hAnsi="Calibri" w:cs="Calibri"/>
                <w:color w:val="000000"/>
                <w:lang w:eastAsia="en-GB"/>
              </w:rPr>
            </w:pPr>
            <w:r w:rsidRPr="000B06F4">
              <w:rPr>
                <w:rFonts w:ascii="Calibri" w:eastAsia="Times New Roman" w:hAnsi="Calibri" w:cs="Calibri"/>
                <w:color w:val="000000"/>
                <w:lang w:eastAsia="en-GB"/>
              </w:rPr>
              <w:t>3</w:t>
            </w:r>
          </w:p>
        </w:tc>
        <w:tc>
          <w:tcPr>
            <w:tcW w:w="1599" w:type="dxa"/>
            <w:shd w:val="clear" w:color="auto" w:fill="auto"/>
            <w:noWrap/>
            <w:vAlign w:val="bottom"/>
            <w:hideMark/>
          </w:tcPr>
          <w:p w:rsidR="000B06F4" w:rsidRPr="000B06F4" w:rsidRDefault="000B06F4" w:rsidP="00DD4D6E">
            <w:pPr>
              <w:jc w:val="center"/>
              <w:rPr>
                <w:rFonts w:ascii="Calibri" w:eastAsia="Times New Roman" w:hAnsi="Calibri" w:cs="Calibri"/>
                <w:color w:val="000000"/>
                <w:lang w:eastAsia="en-GB"/>
              </w:rPr>
            </w:pPr>
            <w:r w:rsidRPr="000B06F4">
              <w:rPr>
                <w:rFonts w:ascii="Calibri" w:eastAsia="Times New Roman" w:hAnsi="Calibri" w:cs="Calibri"/>
                <w:color w:val="000000"/>
                <w:lang w:eastAsia="en-GB"/>
              </w:rPr>
              <w:t>16</w:t>
            </w:r>
          </w:p>
        </w:tc>
      </w:tr>
      <w:tr w:rsidR="000B06F4" w:rsidRPr="000B06F4" w:rsidTr="00DD4D6E">
        <w:trPr>
          <w:trHeight w:val="300"/>
          <w:jc w:val="center"/>
        </w:trPr>
        <w:tc>
          <w:tcPr>
            <w:tcW w:w="3132" w:type="dxa"/>
            <w:shd w:val="clear" w:color="auto" w:fill="auto"/>
            <w:noWrap/>
            <w:vAlign w:val="bottom"/>
            <w:hideMark/>
          </w:tcPr>
          <w:p w:rsidR="000B06F4" w:rsidRPr="000B06F4" w:rsidRDefault="000B06F4" w:rsidP="000B06F4">
            <w:pPr>
              <w:rPr>
                <w:rFonts w:ascii="Calibri" w:eastAsia="Times New Roman" w:hAnsi="Calibri" w:cs="Calibri"/>
                <w:color w:val="000000"/>
                <w:lang w:eastAsia="en-GB"/>
              </w:rPr>
            </w:pPr>
            <w:r w:rsidRPr="000B06F4">
              <w:rPr>
                <w:rFonts w:ascii="Calibri" w:eastAsia="Times New Roman" w:hAnsi="Calibri" w:cs="Calibri"/>
                <w:color w:val="000000"/>
                <w:lang w:eastAsia="en-GB"/>
              </w:rPr>
              <w:t>WINTERHOLT BLACK THUNDER</w:t>
            </w:r>
          </w:p>
        </w:tc>
        <w:tc>
          <w:tcPr>
            <w:tcW w:w="1384" w:type="dxa"/>
            <w:shd w:val="clear" w:color="auto" w:fill="auto"/>
            <w:noWrap/>
            <w:vAlign w:val="bottom"/>
            <w:hideMark/>
          </w:tcPr>
          <w:p w:rsidR="000B06F4" w:rsidRPr="000B06F4" w:rsidRDefault="000B06F4" w:rsidP="00DD4D6E">
            <w:pPr>
              <w:jc w:val="center"/>
              <w:rPr>
                <w:rFonts w:ascii="Calibri" w:eastAsia="Times New Roman" w:hAnsi="Calibri" w:cs="Calibri"/>
                <w:color w:val="000000"/>
                <w:lang w:eastAsia="en-GB"/>
              </w:rPr>
            </w:pPr>
            <w:r w:rsidRPr="000B06F4">
              <w:rPr>
                <w:rFonts w:ascii="Calibri" w:eastAsia="Times New Roman" w:hAnsi="Calibri" w:cs="Calibri"/>
                <w:color w:val="000000"/>
                <w:lang w:eastAsia="en-GB"/>
              </w:rPr>
              <w:t>3</w:t>
            </w:r>
          </w:p>
        </w:tc>
        <w:tc>
          <w:tcPr>
            <w:tcW w:w="1599" w:type="dxa"/>
            <w:shd w:val="clear" w:color="auto" w:fill="auto"/>
            <w:noWrap/>
            <w:vAlign w:val="bottom"/>
            <w:hideMark/>
          </w:tcPr>
          <w:p w:rsidR="000B06F4" w:rsidRPr="000B06F4" w:rsidRDefault="000B06F4" w:rsidP="00DD4D6E">
            <w:pPr>
              <w:jc w:val="center"/>
              <w:rPr>
                <w:rFonts w:ascii="Calibri" w:eastAsia="Times New Roman" w:hAnsi="Calibri" w:cs="Calibri"/>
                <w:color w:val="000000"/>
                <w:lang w:eastAsia="en-GB"/>
              </w:rPr>
            </w:pPr>
            <w:r w:rsidRPr="000B06F4">
              <w:rPr>
                <w:rFonts w:ascii="Calibri" w:eastAsia="Times New Roman" w:hAnsi="Calibri" w:cs="Calibri"/>
                <w:color w:val="000000"/>
                <w:lang w:eastAsia="en-GB"/>
              </w:rPr>
              <w:t>14</w:t>
            </w:r>
          </w:p>
        </w:tc>
      </w:tr>
      <w:tr w:rsidR="000B06F4" w:rsidRPr="000B06F4" w:rsidTr="00DD4D6E">
        <w:trPr>
          <w:trHeight w:val="300"/>
          <w:jc w:val="center"/>
        </w:trPr>
        <w:tc>
          <w:tcPr>
            <w:tcW w:w="3132" w:type="dxa"/>
            <w:shd w:val="clear" w:color="auto" w:fill="auto"/>
            <w:noWrap/>
            <w:vAlign w:val="bottom"/>
            <w:hideMark/>
          </w:tcPr>
          <w:p w:rsidR="000B06F4" w:rsidRPr="000B06F4" w:rsidRDefault="000B06F4" w:rsidP="000B06F4">
            <w:pPr>
              <w:rPr>
                <w:rFonts w:ascii="Calibri" w:eastAsia="Times New Roman" w:hAnsi="Calibri" w:cs="Calibri"/>
                <w:color w:val="000000"/>
                <w:lang w:eastAsia="en-GB"/>
              </w:rPr>
            </w:pPr>
            <w:r w:rsidRPr="000B06F4">
              <w:rPr>
                <w:rFonts w:ascii="Calibri" w:eastAsia="Times New Roman" w:hAnsi="Calibri" w:cs="Calibri"/>
                <w:color w:val="000000"/>
                <w:lang w:eastAsia="en-GB"/>
              </w:rPr>
              <w:t xml:space="preserve">ABBYFORD BOLD VENTURER </w:t>
            </w:r>
          </w:p>
        </w:tc>
        <w:tc>
          <w:tcPr>
            <w:tcW w:w="1384" w:type="dxa"/>
            <w:shd w:val="clear" w:color="auto" w:fill="auto"/>
            <w:noWrap/>
            <w:vAlign w:val="bottom"/>
            <w:hideMark/>
          </w:tcPr>
          <w:p w:rsidR="000B06F4" w:rsidRPr="000B06F4" w:rsidRDefault="000B06F4" w:rsidP="00DD4D6E">
            <w:pPr>
              <w:jc w:val="center"/>
              <w:rPr>
                <w:rFonts w:ascii="Calibri" w:eastAsia="Times New Roman" w:hAnsi="Calibri" w:cs="Calibri"/>
                <w:color w:val="000000"/>
                <w:lang w:eastAsia="en-GB"/>
              </w:rPr>
            </w:pPr>
            <w:r w:rsidRPr="000B06F4">
              <w:rPr>
                <w:rFonts w:ascii="Calibri" w:eastAsia="Times New Roman" w:hAnsi="Calibri" w:cs="Calibri"/>
                <w:color w:val="000000"/>
                <w:lang w:eastAsia="en-GB"/>
              </w:rPr>
              <w:t>2</w:t>
            </w:r>
          </w:p>
        </w:tc>
        <w:tc>
          <w:tcPr>
            <w:tcW w:w="1599" w:type="dxa"/>
            <w:shd w:val="clear" w:color="auto" w:fill="auto"/>
            <w:noWrap/>
            <w:vAlign w:val="bottom"/>
            <w:hideMark/>
          </w:tcPr>
          <w:p w:rsidR="000B06F4" w:rsidRPr="000B06F4" w:rsidRDefault="000B06F4" w:rsidP="00DD4D6E">
            <w:pPr>
              <w:jc w:val="center"/>
              <w:rPr>
                <w:rFonts w:ascii="Calibri" w:eastAsia="Times New Roman" w:hAnsi="Calibri" w:cs="Calibri"/>
                <w:color w:val="000000"/>
                <w:lang w:eastAsia="en-GB"/>
              </w:rPr>
            </w:pPr>
            <w:r w:rsidRPr="000B06F4">
              <w:rPr>
                <w:rFonts w:ascii="Calibri" w:eastAsia="Times New Roman" w:hAnsi="Calibri" w:cs="Calibri"/>
                <w:color w:val="000000"/>
                <w:lang w:eastAsia="en-GB"/>
              </w:rPr>
              <w:t>17</w:t>
            </w:r>
          </w:p>
        </w:tc>
      </w:tr>
      <w:tr w:rsidR="000B06F4" w:rsidRPr="000B06F4" w:rsidTr="00DD4D6E">
        <w:trPr>
          <w:trHeight w:val="300"/>
          <w:jc w:val="center"/>
        </w:trPr>
        <w:tc>
          <w:tcPr>
            <w:tcW w:w="3132" w:type="dxa"/>
            <w:shd w:val="clear" w:color="auto" w:fill="auto"/>
            <w:noWrap/>
            <w:vAlign w:val="bottom"/>
            <w:hideMark/>
          </w:tcPr>
          <w:p w:rsidR="000B06F4" w:rsidRPr="000B06F4" w:rsidRDefault="000B06F4" w:rsidP="000B06F4">
            <w:pPr>
              <w:rPr>
                <w:rFonts w:ascii="Calibri" w:eastAsia="Times New Roman" w:hAnsi="Calibri" w:cs="Calibri"/>
                <w:color w:val="000000"/>
                <w:lang w:eastAsia="en-GB"/>
              </w:rPr>
            </w:pPr>
            <w:r w:rsidRPr="000B06F4">
              <w:rPr>
                <w:rFonts w:ascii="Calibri" w:eastAsia="Times New Roman" w:hAnsi="Calibri" w:cs="Calibri"/>
                <w:color w:val="000000"/>
                <w:lang w:eastAsia="en-GB"/>
              </w:rPr>
              <w:t>TAVIROSH OLD YELLER</w:t>
            </w:r>
          </w:p>
        </w:tc>
        <w:tc>
          <w:tcPr>
            <w:tcW w:w="1384" w:type="dxa"/>
            <w:shd w:val="clear" w:color="auto" w:fill="auto"/>
            <w:noWrap/>
            <w:vAlign w:val="bottom"/>
            <w:hideMark/>
          </w:tcPr>
          <w:p w:rsidR="000B06F4" w:rsidRPr="000B06F4" w:rsidRDefault="000B06F4" w:rsidP="00DD4D6E">
            <w:pPr>
              <w:jc w:val="center"/>
              <w:rPr>
                <w:rFonts w:ascii="Calibri" w:eastAsia="Times New Roman" w:hAnsi="Calibri" w:cs="Calibri"/>
                <w:color w:val="000000"/>
                <w:lang w:eastAsia="en-GB"/>
              </w:rPr>
            </w:pPr>
            <w:r w:rsidRPr="000B06F4">
              <w:rPr>
                <w:rFonts w:ascii="Calibri" w:eastAsia="Times New Roman" w:hAnsi="Calibri" w:cs="Calibri"/>
                <w:color w:val="000000"/>
                <w:lang w:eastAsia="en-GB"/>
              </w:rPr>
              <w:t>2</w:t>
            </w:r>
          </w:p>
        </w:tc>
        <w:tc>
          <w:tcPr>
            <w:tcW w:w="1599" w:type="dxa"/>
            <w:shd w:val="clear" w:color="auto" w:fill="auto"/>
            <w:noWrap/>
            <w:vAlign w:val="bottom"/>
            <w:hideMark/>
          </w:tcPr>
          <w:p w:rsidR="000B06F4" w:rsidRPr="000B06F4" w:rsidRDefault="000B06F4" w:rsidP="00DD4D6E">
            <w:pPr>
              <w:jc w:val="center"/>
              <w:rPr>
                <w:rFonts w:ascii="Calibri" w:eastAsia="Times New Roman" w:hAnsi="Calibri" w:cs="Calibri"/>
                <w:color w:val="000000"/>
                <w:lang w:eastAsia="en-GB"/>
              </w:rPr>
            </w:pPr>
            <w:r w:rsidRPr="000B06F4">
              <w:rPr>
                <w:rFonts w:ascii="Calibri" w:eastAsia="Times New Roman" w:hAnsi="Calibri" w:cs="Calibri"/>
                <w:color w:val="000000"/>
                <w:lang w:eastAsia="en-GB"/>
              </w:rPr>
              <w:t>11</w:t>
            </w:r>
          </w:p>
        </w:tc>
      </w:tr>
    </w:tbl>
    <w:p w:rsidR="00F60A0E" w:rsidRPr="00D405FB" w:rsidRDefault="00F60A0E" w:rsidP="00FB2991">
      <w:pPr>
        <w:jc w:val="both"/>
      </w:pPr>
    </w:p>
    <w:p w:rsidR="00F60A0E" w:rsidRPr="00D405FB" w:rsidRDefault="000F074B" w:rsidP="00FB2991">
      <w:pPr>
        <w:jc w:val="both"/>
      </w:pPr>
      <w:r w:rsidRPr="00D405FB">
        <w:t xml:space="preserve"> </w:t>
      </w:r>
    </w:p>
    <w:p w:rsidR="002A1643" w:rsidRPr="00D405FB" w:rsidRDefault="002A1643" w:rsidP="00FB2991">
      <w:pPr>
        <w:jc w:val="both"/>
      </w:pPr>
      <w:r w:rsidRPr="00D405FB">
        <w:t xml:space="preserve">The full history of the dogs </w:t>
      </w:r>
      <w:r w:rsidR="008A371B">
        <w:t>that</w:t>
      </w:r>
      <w:r w:rsidRPr="00D405FB">
        <w:t xml:space="preserve"> had sired a litter in 2015 was analysed and the total number of puppies produced by each </w:t>
      </w:r>
      <w:r w:rsidR="008A371B" w:rsidRPr="00D405FB">
        <w:t xml:space="preserve">over their life up to the end of 2015 </w:t>
      </w:r>
      <w:r w:rsidRPr="00D405FB">
        <w:t>was calculated.  The</w:t>
      </w:r>
      <w:r w:rsidR="00DD4D6E">
        <w:t>re were</w:t>
      </w:r>
      <w:r w:rsidRPr="00D405FB">
        <w:t xml:space="preserve"> f</w:t>
      </w:r>
      <w:r w:rsidR="00DD4D6E">
        <w:t>our</w:t>
      </w:r>
      <w:r w:rsidRPr="00D405FB">
        <w:t xml:space="preserve"> </w:t>
      </w:r>
      <w:r w:rsidR="00DD4D6E">
        <w:t>sires</w:t>
      </w:r>
      <w:r w:rsidRPr="00D405FB">
        <w:t xml:space="preserve"> </w:t>
      </w:r>
      <w:proofErr w:type="gramStart"/>
      <w:r w:rsidR="00DD4D6E">
        <w:t>who</w:t>
      </w:r>
      <w:proofErr w:type="gramEnd"/>
      <w:r w:rsidR="00DD4D6E">
        <w:t xml:space="preserve"> had each had more than 10 litters and these </w:t>
      </w:r>
      <w:r w:rsidRPr="00D405FB">
        <w:t>are listed below.</w:t>
      </w:r>
    </w:p>
    <w:p w:rsidR="002A1643" w:rsidRPr="00D405FB" w:rsidRDefault="002A1643" w:rsidP="00FB2991">
      <w:pPr>
        <w:jc w:val="both"/>
      </w:pP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4"/>
        <w:gridCol w:w="1552"/>
        <w:gridCol w:w="1817"/>
      </w:tblGrid>
      <w:tr w:rsidR="000B06F4" w:rsidRPr="000B06F4" w:rsidTr="00DD4D6E">
        <w:trPr>
          <w:trHeight w:val="315"/>
          <w:jc w:val="center"/>
        </w:trPr>
        <w:tc>
          <w:tcPr>
            <w:tcW w:w="4974" w:type="dxa"/>
            <w:shd w:val="clear" w:color="auto" w:fill="auto"/>
            <w:noWrap/>
            <w:hideMark/>
          </w:tcPr>
          <w:p w:rsidR="000B06F4" w:rsidRPr="000B06F4" w:rsidRDefault="000B06F4" w:rsidP="000B06F4">
            <w:pPr>
              <w:jc w:val="center"/>
              <w:rPr>
                <w:rFonts w:ascii="Times New Roman" w:eastAsia="Times New Roman" w:hAnsi="Times New Roman" w:cs="Times New Roman"/>
                <w:b/>
                <w:bCs/>
                <w:color w:val="000000"/>
                <w:sz w:val="24"/>
                <w:szCs w:val="24"/>
                <w:lang w:eastAsia="en-GB"/>
              </w:rPr>
            </w:pPr>
            <w:r w:rsidRPr="000B06F4">
              <w:rPr>
                <w:rFonts w:ascii="Times New Roman" w:eastAsia="Times New Roman" w:hAnsi="Times New Roman" w:cs="Times New Roman"/>
                <w:b/>
                <w:bCs/>
                <w:color w:val="000000"/>
                <w:sz w:val="24"/>
                <w:szCs w:val="24"/>
                <w:lang w:eastAsia="en-GB"/>
              </w:rPr>
              <w:t>Sire</w:t>
            </w:r>
          </w:p>
        </w:tc>
        <w:tc>
          <w:tcPr>
            <w:tcW w:w="1552" w:type="dxa"/>
            <w:shd w:val="clear" w:color="auto" w:fill="auto"/>
            <w:noWrap/>
            <w:hideMark/>
          </w:tcPr>
          <w:p w:rsidR="000B06F4" w:rsidRPr="000B06F4" w:rsidRDefault="000B06F4" w:rsidP="000B06F4">
            <w:pPr>
              <w:jc w:val="center"/>
              <w:rPr>
                <w:rFonts w:ascii="Times New Roman" w:eastAsia="Times New Roman" w:hAnsi="Times New Roman" w:cs="Times New Roman"/>
                <w:b/>
                <w:bCs/>
                <w:color w:val="000000"/>
                <w:sz w:val="24"/>
                <w:szCs w:val="24"/>
                <w:lang w:eastAsia="en-GB"/>
              </w:rPr>
            </w:pPr>
            <w:r w:rsidRPr="000B06F4">
              <w:rPr>
                <w:rFonts w:ascii="Times New Roman" w:eastAsia="Times New Roman" w:hAnsi="Times New Roman" w:cs="Times New Roman"/>
                <w:b/>
                <w:bCs/>
                <w:color w:val="000000"/>
                <w:sz w:val="24"/>
                <w:szCs w:val="24"/>
                <w:lang w:eastAsia="en-GB"/>
              </w:rPr>
              <w:t>Total litters</w:t>
            </w:r>
          </w:p>
        </w:tc>
        <w:tc>
          <w:tcPr>
            <w:tcW w:w="1817" w:type="dxa"/>
            <w:shd w:val="clear" w:color="auto" w:fill="auto"/>
            <w:noWrap/>
            <w:hideMark/>
          </w:tcPr>
          <w:p w:rsidR="000B06F4" w:rsidRPr="000B06F4" w:rsidRDefault="000B06F4" w:rsidP="000B06F4">
            <w:pPr>
              <w:jc w:val="center"/>
              <w:rPr>
                <w:rFonts w:ascii="Times New Roman" w:eastAsia="Times New Roman" w:hAnsi="Times New Roman" w:cs="Times New Roman"/>
                <w:b/>
                <w:bCs/>
                <w:color w:val="000000"/>
                <w:sz w:val="24"/>
                <w:szCs w:val="24"/>
                <w:lang w:eastAsia="en-GB"/>
              </w:rPr>
            </w:pPr>
            <w:r w:rsidRPr="000B06F4">
              <w:rPr>
                <w:rFonts w:ascii="Times New Roman" w:eastAsia="Times New Roman" w:hAnsi="Times New Roman" w:cs="Times New Roman"/>
                <w:b/>
                <w:bCs/>
                <w:color w:val="000000"/>
                <w:sz w:val="24"/>
                <w:szCs w:val="24"/>
                <w:lang w:eastAsia="en-GB"/>
              </w:rPr>
              <w:t>Total puppies</w:t>
            </w:r>
          </w:p>
        </w:tc>
      </w:tr>
      <w:tr w:rsidR="000B06F4" w:rsidRPr="000B06F4" w:rsidTr="00DD4D6E">
        <w:trPr>
          <w:trHeight w:val="300"/>
          <w:jc w:val="center"/>
        </w:trPr>
        <w:tc>
          <w:tcPr>
            <w:tcW w:w="4974" w:type="dxa"/>
            <w:shd w:val="clear" w:color="auto" w:fill="auto"/>
            <w:noWrap/>
            <w:vAlign w:val="bottom"/>
            <w:hideMark/>
          </w:tcPr>
          <w:p w:rsidR="000B06F4" w:rsidRPr="000B06F4" w:rsidRDefault="000B06F4" w:rsidP="000B06F4">
            <w:pPr>
              <w:rPr>
                <w:rFonts w:ascii="Calibri" w:eastAsia="Times New Roman" w:hAnsi="Calibri" w:cs="Calibri"/>
                <w:color w:val="000000"/>
                <w:lang w:eastAsia="en-GB"/>
              </w:rPr>
            </w:pPr>
            <w:r w:rsidRPr="000B06F4">
              <w:rPr>
                <w:rFonts w:ascii="Calibri" w:eastAsia="Times New Roman" w:hAnsi="Calibri" w:cs="Calibri"/>
                <w:color w:val="000000"/>
                <w:lang w:eastAsia="en-GB"/>
              </w:rPr>
              <w:t>WESTERLY GAELS DIAMOND DOGS AT SEDGEHURST</w:t>
            </w:r>
          </w:p>
        </w:tc>
        <w:tc>
          <w:tcPr>
            <w:tcW w:w="1552" w:type="dxa"/>
            <w:shd w:val="clear" w:color="auto" w:fill="auto"/>
            <w:noWrap/>
            <w:vAlign w:val="bottom"/>
            <w:hideMark/>
          </w:tcPr>
          <w:p w:rsidR="000B06F4" w:rsidRPr="000B06F4" w:rsidRDefault="000B06F4" w:rsidP="000B06F4">
            <w:pPr>
              <w:jc w:val="center"/>
              <w:rPr>
                <w:rFonts w:ascii="Calibri" w:eastAsia="Times New Roman" w:hAnsi="Calibri" w:cs="Calibri"/>
                <w:color w:val="000000"/>
                <w:lang w:eastAsia="en-GB"/>
              </w:rPr>
            </w:pPr>
            <w:r w:rsidRPr="000B06F4">
              <w:rPr>
                <w:rFonts w:ascii="Calibri" w:eastAsia="Times New Roman" w:hAnsi="Calibri" w:cs="Calibri"/>
                <w:color w:val="000000"/>
                <w:lang w:eastAsia="en-GB"/>
              </w:rPr>
              <w:t>16</w:t>
            </w:r>
          </w:p>
        </w:tc>
        <w:tc>
          <w:tcPr>
            <w:tcW w:w="1817" w:type="dxa"/>
            <w:shd w:val="clear" w:color="auto" w:fill="auto"/>
            <w:noWrap/>
            <w:vAlign w:val="bottom"/>
            <w:hideMark/>
          </w:tcPr>
          <w:p w:rsidR="000B06F4" w:rsidRPr="000B06F4" w:rsidRDefault="000B06F4" w:rsidP="000B06F4">
            <w:pPr>
              <w:jc w:val="center"/>
              <w:rPr>
                <w:rFonts w:ascii="Calibri" w:eastAsia="Times New Roman" w:hAnsi="Calibri" w:cs="Calibri"/>
                <w:color w:val="000000"/>
                <w:lang w:eastAsia="en-GB"/>
              </w:rPr>
            </w:pPr>
            <w:r w:rsidRPr="000B06F4">
              <w:rPr>
                <w:rFonts w:ascii="Calibri" w:eastAsia="Times New Roman" w:hAnsi="Calibri" w:cs="Calibri"/>
                <w:color w:val="000000"/>
                <w:lang w:eastAsia="en-GB"/>
              </w:rPr>
              <w:t>100</w:t>
            </w:r>
          </w:p>
        </w:tc>
      </w:tr>
      <w:tr w:rsidR="000B06F4" w:rsidRPr="000B06F4" w:rsidTr="00DD4D6E">
        <w:trPr>
          <w:trHeight w:val="300"/>
          <w:jc w:val="center"/>
        </w:trPr>
        <w:tc>
          <w:tcPr>
            <w:tcW w:w="4974" w:type="dxa"/>
            <w:shd w:val="clear" w:color="auto" w:fill="auto"/>
            <w:noWrap/>
            <w:vAlign w:val="bottom"/>
            <w:hideMark/>
          </w:tcPr>
          <w:p w:rsidR="000B06F4" w:rsidRPr="000B06F4" w:rsidRDefault="000B06F4" w:rsidP="000B06F4">
            <w:pPr>
              <w:rPr>
                <w:rFonts w:ascii="Calibri" w:eastAsia="Times New Roman" w:hAnsi="Calibri" w:cs="Calibri"/>
                <w:color w:val="000000"/>
                <w:lang w:eastAsia="en-GB"/>
              </w:rPr>
            </w:pPr>
            <w:r w:rsidRPr="000B06F4">
              <w:rPr>
                <w:rFonts w:ascii="Calibri" w:eastAsia="Times New Roman" w:hAnsi="Calibri" w:cs="Calibri"/>
                <w:color w:val="000000"/>
                <w:lang w:eastAsia="en-GB"/>
              </w:rPr>
              <w:t>SEDGEHURST TEMPEST</w:t>
            </w:r>
          </w:p>
        </w:tc>
        <w:tc>
          <w:tcPr>
            <w:tcW w:w="1552" w:type="dxa"/>
            <w:shd w:val="clear" w:color="auto" w:fill="auto"/>
            <w:noWrap/>
            <w:vAlign w:val="bottom"/>
            <w:hideMark/>
          </w:tcPr>
          <w:p w:rsidR="000B06F4" w:rsidRPr="000B06F4" w:rsidRDefault="000B06F4" w:rsidP="000B06F4">
            <w:pPr>
              <w:jc w:val="center"/>
              <w:rPr>
                <w:rFonts w:ascii="Calibri" w:eastAsia="Times New Roman" w:hAnsi="Calibri" w:cs="Calibri"/>
                <w:color w:val="000000"/>
                <w:lang w:eastAsia="en-GB"/>
              </w:rPr>
            </w:pPr>
            <w:r w:rsidRPr="000B06F4">
              <w:rPr>
                <w:rFonts w:ascii="Calibri" w:eastAsia="Times New Roman" w:hAnsi="Calibri" w:cs="Calibri"/>
                <w:color w:val="000000"/>
                <w:lang w:eastAsia="en-GB"/>
              </w:rPr>
              <w:t>16</w:t>
            </w:r>
          </w:p>
        </w:tc>
        <w:tc>
          <w:tcPr>
            <w:tcW w:w="1817" w:type="dxa"/>
            <w:shd w:val="clear" w:color="auto" w:fill="auto"/>
            <w:noWrap/>
            <w:vAlign w:val="bottom"/>
            <w:hideMark/>
          </w:tcPr>
          <w:p w:rsidR="000B06F4" w:rsidRPr="000B06F4" w:rsidRDefault="000B06F4" w:rsidP="000B06F4">
            <w:pPr>
              <w:jc w:val="center"/>
              <w:rPr>
                <w:rFonts w:ascii="Calibri" w:eastAsia="Times New Roman" w:hAnsi="Calibri" w:cs="Calibri"/>
                <w:color w:val="000000"/>
                <w:lang w:eastAsia="en-GB"/>
              </w:rPr>
            </w:pPr>
            <w:r w:rsidRPr="000B06F4">
              <w:rPr>
                <w:rFonts w:ascii="Calibri" w:eastAsia="Times New Roman" w:hAnsi="Calibri" w:cs="Calibri"/>
                <w:color w:val="000000"/>
                <w:lang w:eastAsia="en-GB"/>
              </w:rPr>
              <w:t>89</w:t>
            </w:r>
          </w:p>
        </w:tc>
      </w:tr>
      <w:tr w:rsidR="000B06F4" w:rsidRPr="000B06F4" w:rsidTr="00DD4D6E">
        <w:trPr>
          <w:trHeight w:val="300"/>
          <w:jc w:val="center"/>
        </w:trPr>
        <w:tc>
          <w:tcPr>
            <w:tcW w:w="4974" w:type="dxa"/>
            <w:shd w:val="clear" w:color="auto" w:fill="auto"/>
            <w:noWrap/>
            <w:vAlign w:val="bottom"/>
            <w:hideMark/>
          </w:tcPr>
          <w:p w:rsidR="000B06F4" w:rsidRPr="000B06F4" w:rsidRDefault="000B06F4" w:rsidP="000B06F4">
            <w:pPr>
              <w:rPr>
                <w:rFonts w:ascii="Calibri" w:eastAsia="Times New Roman" w:hAnsi="Calibri" w:cs="Calibri"/>
                <w:color w:val="000000"/>
                <w:lang w:eastAsia="en-GB"/>
              </w:rPr>
            </w:pPr>
            <w:r w:rsidRPr="000B06F4">
              <w:rPr>
                <w:rFonts w:ascii="Calibri" w:eastAsia="Times New Roman" w:hAnsi="Calibri" w:cs="Calibri"/>
                <w:color w:val="000000"/>
                <w:lang w:eastAsia="en-GB"/>
              </w:rPr>
              <w:t>TWEEDSMUIR DAMBUSTER</w:t>
            </w:r>
          </w:p>
        </w:tc>
        <w:tc>
          <w:tcPr>
            <w:tcW w:w="1552" w:type="dxa"/>
            <w:shd w:val="clear" w:color="auto" w:fill="auto"/>
            <w:noWrap/>
            <w:vAlign w:val="bottom"/>
            <w:hideMark/>
          </w:tcPr>
          <w:p w:rsidR="000B06F4" w:rsidRPr="000B06F4" w:rsidRDefault="000B06F4" w:rsidP="000B06F4">
            <w:pPr>
              <w:jc w:val="center"/>
              <w:rPr>
                <w:rFonts w:ascii="Calibri" w:eastAsia="Times New Roman" w:hAnsi="Calibri" w:cs="Calibri"/>
                <w:color w:val="000000"/>
                <w:lang w:eastAsia="en-GB"/>
              </w:rPr>
            </w:pPr>
            <w:r w:rsidRPr="000B06F4">
              <w:rPr>
                <w:rFonts w:ascii="Calibri" w:eastAsia="Times New Roman" w:hAnsi="Calibri" w:cs="Calibri"/>
                <w:color w:val="000000"/>
                <w:lang w:eastAsia="en-GB"/>
              </w:rPr>
              <w:t>13</w:t>
            </w:r>
          </w:p>
        </w:tc>
        <w:tc>
          <w:tcPr>
            <w:tcW w:w="1817" w:type="dxa"/>
            <w:shd w:val="clear" w:color="auto" w:fill="auto"/>
            <w:noWrap/>
            <w:vAlign w:val="bottom"/>
            <w:hideMark/>
          </w:tcPr>
          <w:p w:rsidR="000B06F4" w:rsidRPr="000B06F4" w:rsidRDefault="000B06F4" w:rsidP="000B06F4">
            <w:pPr>
              <w:jc w:val="center"/>
              <w:rPr>
                <w:rFonts w:ascii="Calibri" w:eastAsia="Times New Roman" w:hAnsi="Calibri" w:cs="Calibri"/>
                <w:color w:val="000000"/>
                <w:lang w:eastAsia="en-GB"/>
              </w:rPr>
            </w:pPr>
            <w:r w:rsidRPr="000B06F4">
              <w:rPr>
                <w:rFonts w:ascii="Calibri" w:eastAsia="Times New Roman" w:hAnsi="Calibri" w:cs="Calibri"/>
                <w:color w:val="000000"/>
                <w:lang w:eastAsia="en-GB"/>
              </w:rPr>
              <w:t>64</w:t>
            </w:r>
          </w:p>
        </w:tc>
      </w:tr>
      <w:tr w:rsidR="000B06F4" w:rsidRPr="000B06F4" w:rsidTr="00DD4D6E">
        <w:trPr>
          <w:trHeight w:val="300"/>
          <w:jc w:val="center"/>
        </w:trPr>
        <w:tc>
          <w:tcPr>
            <w:tcW w:w="4974" w:type="dxa"/>
            <w:shd w:val="clear" w:color="auto" w:fill="auto"/>
            <w:noWrap/>
            <w:vAlign w:val="bottom"/>
            <w:hideMark/>
          </w:tcPr>
          <w:p w:rsidR="000B06F4" w:rsidRPr="000B06F4" w:rsidRDefault="000B06F4" w:rsidP="000B06F4">
            <w:pPr>
              <w:rPr>
                <w:rFonts w:ascii="Calibri" w:eastAsia="Times New Roman" w:hAnsi="Calibri" w:cs="Calibri"/>
                <w:color w:val="000000"/>
                <w:lang w:eastAsia="en-GB"/>
              </w:rPr>
            </w:pPr>
            <w:r w:rsidRPr="000B06F4">
              <w:rPr>
                <w:rFonts w:ascii="Calibri" w:eastAsia="Times New Roman" w:hAnsi="Calibri" w:cs="Calibri"/>
                <w:color w:val="000000"/>
                <w:lang w:eastAsia="en-GB"/>
              </w:rPr>
              <w:t>CLUMBERDALE ROYAL WULFF</w:t>
            </w:r>
          </w:p>
        </w:tc>
        <w:tc>
          <w:tcPr>
            <w:tcW w:w="1552" w:type="dxa"/>
            <w:shd w:val="clear" w:color="auto" w:fill="auto"/>
            <w:noWrap/>
            <w:vAlign w:val="bottom"/>
            <w:hideMark/>
          </w:tcPr>
          <w:p w:rsidR="000B06F4" w:rsidRPr="000B06F4" w:rsidRDefault="000B06F4" w:rsidP="000B06F4">
            <w:pPr>
              <w:jc w:val="center"/>
              <w:rPr>
                <w:rFonts w:ascii="Calibri" w:eastAsia="Times New Roman" w:hAnsi="Calibri" w:cs="Calibri"/>
                <w:color w:val="000000"/>
                <w:lang w:eastAsia="en-GB"/>
              </w:rPr>
            </w:pPr>
            <w:r w:rsidRPr="000B06F4">
              <w:rPr>
                <w:rFonts w:ascii="Calibri" w:eastAsia="Times New Roman" w:hAnsi="Calibri" w:cs="Calibri"/>
                <w:color w:val="000000"/>
                <w:lang w:eastAsia="en-GB"/>
              </w:rPr>
              <w:t>12</w:t>
            </w:r>
          </w:p>
        </w:tc>
        <w:tc>
          <w:tcPr>
            <w:tcW w:w="1817" w:type="dxa"/>
            <w:shd w:val="clear" w:color="auto" w:fill="auto"/>
            <w:noWrap/>
            <w:vAlign w:val="bottom"/>
            <w:hideMark/>
          </w:tcPr>
          <w:p w:rsidR="000B06F4" w:rsidRPr="000B06F4" w:rsidRDefault="000B06F4" w:rsidP="000B06F4">
            <w:pPr>
              <w:jc w:val="center"/>
              <w:rPr>
                <w:rFonts w:ascii="Calibri" w:eastAsia="Times New Roman" w:hAnsi="Calibri" w:cs="Calibri"/>
                <w:color w:val="000000"/>
                <w:lang w:eastAsia="en-GB"/>
              </w:rPr>
            </w:pPr>
            <w:r w:rsidRPr="000B06F4">
              <w:rPr>
                <w:rFonts w:ascii="Calibri" w:eastAsia="Times New Roman" w:hAnsi="Calibri" w:cs="Calibri"/>
                <w:color w:val="000000"/>
                <w:lang w:eastAsia="en-GB"/>
              </w:rPr>
              <w:t>51</w:t>
            </w:r>
          </w:p>
        </w:tc>
      </w:tr>
    </w:tbl>
    <w:p w:rsidR="00D6132A" w:rsidRPr="00D405FB" w:rsidRDefault="00D6132A" w:rsidP="00FB2991">
      <w:pPr>
        <w:jc w:val="both"/>
      </w:pPr>
    </w:p>
    <w:p w:rsidR="00524B1D" w:rsidRDefault="000B06F4" w:rsidP="00FB2991">
      <w:pPr>
        <w:jc w:val="both"/>
      </w:pPr>
      <w:r w:rsidRPr="00D405FB">
        <w:lastRenderedPageBreak/>
        <w:t xml:space="preserve">The Bateson report published in 2010 included a recommendation that “Over a 5-year period no dog should have more offspring than 5% of the total number of puppies registered for that breed”. </w:t>
      </w:r>
    </w:p>
    <w:p w:rsidR="00C46C08" w:rsidRDefault="00C46C08" w:rsidP="00FB2991">
      <w:pPr>
        <w:jc w:val="both"/>
      </w:pPr>
    </w:p>
    <w:p w:rsidR="00524B1D" w:rsidRDefault="00524B1D" w:rsidP="00FB2991">
      <w:pPr>
        <w:jc w:val="both"/>
      </w:pPr>
      <w:r>
        <w:t>Each Clumber Spaniel</w:t>
      </w:r>
      <w:r w:rsidR="000B06F4" w:rsidRPr="00D405FB">
        <w:t xml:space="preserve"> Breed Health Plan </w:t>
      </w:r>
      <w:r>
        <w:t xml:space="preserve">has </w:t>
      </w:r>
      <w:r w:rsidR="000B06F4" w:rsidRPr="00D405FB">
        <w:t xml:space="preserve">advised stud dog owners </w:t>
      </w:r>
      <w:r>
        <w:t>on the maximum number of puppies each should produce</w:t>
      </w:r>
      <w:r w:rsidR="0013308F">
        <w:t>. This</w:t>
      </w:r>
      <w:r>
        <w:t xml:space="preserve"> has been amended each year according to the number of puppies registered. The 2015 plan stated </w:t>
      </w:r>
      <w:r w:rsidR="000B06F4" w:rsidRPr="00D405FB">
        <w:t xml:space="preserve">that “no dog should produce more than 55 puppies in a 5-year period”. </w:t>
      </w:r>
    </w:p>
    <w:p w:rsidR="00524B1D" w:rsidRDefault="00524B1D" w:rsidP="00FB2991">
      <w:pPr>
        <w:jc w:val="both"/>
      </w:pPr>
    </w:p>
    <w:p w:rsidR="00A01E3E" w:rsidRDefault="00D6132A" w:rsidP="00FB2991">
      <w:pPr>
        <w:jc w:val="both"/>
      </w:pPr>
      <w:r w:rsidRPr="00D405FB">
        <w:t>An analysis of the 5-year rolling total nu</w:t>
      </w:r>
      <w:r w:rsidR="008C5397" w:rsidRPr="00D405FB">
        <w:t xml:space="preserve">mber of puppies produced by these four most </w:t>
      </w:r>
      <w:r w:rsidRPr="00D405FB">
        <w:t xml:space="preserve">popular sires </w:t>
      </w:r>
      <w:r w:rsidR="00F45C9D">
        <w:t>is shown below</w:t>
      </w:r>
      <w:r w:rsidR="008C5397" w:rsidRPr="00D405FB">
        <w:t xml:space="preserve"> </w:t>
      </w:r>
      <w:r w:rsidR="00F45C9D">
        <w:t>and</w:t>
      </w:r>
      <w:r w:rsidR="008C5397" w:rsidRPr="00D405FB">
        <w:t xml:space="preserve"> the years when their </w:t>
      </w:r>
      <w:r w:rsidR="00DD4D6E">
        <w:t>5-year total</w:t>
      </w:r>
      <w:r w:rsidR="008C5397" w:rsidRPr="00D405FB">
        <w:t xml:space="preserve"> </w:t>
      </w:r>
      <w:r w:rsidR="00524B1D">
        <w:t xml:space="preserve">would have </w:t>
      </w:r>
      <w:r w:rsidR="008C5397" w:rsidRPr="00D405FB">
        <w:t>exceed</w:t>
      </w:r>
      <w:r w:rsidR="00F45C9D">
        <w:t>ed</w:t>
      </w:r>
      <w:r w:rsidR="008C5397" w:rsidRPr="00D405FB">
        <w:t xml:space="preserve"> the </w:t>
      </w:r>
      <w:r w:rsidR="00524B1D">
        <w:t xml:space="preserve">2015 </w:t>
      </w:r>
      <w:r w:rsidR="008C5397" w:rsidRPr="00D405FB">
        <w:t xml:space="preserve">recommendation </w:t>
      </w:r>
      <w:r w:rsidR="00F45C9D">
        <w:t xml:space="preserve">are </w:t>
      </w:r>
      <w:r w:rsidR="008C5397" w:rsidRPr="00D405FB">
        <w:t>highlighted.</w:t>
      </w:r>
    </w:p>
    <w:p w:rsidR="00A01E3E" w:rsidRPr="00D405FB" w:rsidRDefault="00A01E3E" w:rsidP="00FB2991">
      <w:pPr>
        <w:jc w:val="both"/>
      </w:pPr>
    </w:p>
    <w:tbl>
      <w:tblPr>
        <w:tblW w:w="8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
        <w:gridCol w:w="1161"/>
        <w:gridCol w:w="805"/>
        <w:gridCol w:w="1094"/>
        <w:gridCol w:w="954"/>
        <w:gridCol w:w="1161"/>
        <w:gridCol w:w="840"/>
        <w:gridCol w:w="1118"/>
        <w:gridCol w:w="967"/>
      </w:tblGrid>
      <w:tr w:rsidR="0009360C" w:rsidRPr="00D405FB" w:rsidTr="0009360C">
        <w:trPr>
          <w:trHeight w:val="728"/>
          <w:jc w:val="center"/>
        </w:trPr>
        <w:tc>
          <w:tcPr>
            <w:tcW w:w="844" w:type="dxa"/>
            <w:vMerge w:val="restart"/>
            <w:shd w:val="clear" w:color="auto" w:fill="auto"/>
            <w:hideMark/>
          </w:tcPr>
          <w:p w:rsidR="00284212" w:rsidRPr="00D405FB" w:rsidRDefault="00284212" w:rsidP="00284212">
            <w:pPr>
              <w:jc w:val="center"/>
              <w:rPr>
                <w:rFonts w:ascii="Calibri" w:eastAsia="Times New Roman" w:hAnsi="Calibri" w:cs="Calibri"/>
                <w:sz w:val="20"/>
                <w:szCs w:val="20"/>
                <w:lang w:eastAsia="en-GB"/>
              </w:rPr>
            </w:pPr>
          </w:p>
        </w:tc>
        <w:tc>
          <w:tcPr>
            <w:tcW w:w="1966" w:type="dxa"/>
            <w:gridSpan w:val="2"/>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WESTERLY GAELS DIAMOND DOGS AT SEDGEHURST</w:t>
            </w:r>
          </w:p>
        </w:tc>
        <w:tc>
          <w:tcPr>
            <w:tcW w:w="2048" w:type="dxa"/>
            <w:gridSpan w:val="2"/>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SEDGEHURST TEMPEST</w:t>
            </w:r>
          </w:p>
        </w:tc>
        <w:tc>
          <w:tcPr>
            <w:tcW w:w="2001" w:type="dxa"/>
            <w:gridSpan w:val="2"/>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TWEEDSMUIR DAMBUSTER</w:t>
            </w:r>
          </w:p>
        </w:tc>
        <w:tc>
          <w:tcPr>
            <w:tcW w:w="2085" w:type="dxa"/>
            <w:gridSpan w:val="2"/>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CLUMBERDALE ROYAL WULFF</w:t>
            </w:r>
          </w:p>
        </w:tc>
      </w:tr>
      <w:tr w:rsidR="0009360C" w:rsidRPr="00D405FB" w:rsidTr="0009360C">
        <w:trPr>
          <w:trHeight w:val="510"/>
          <w:jc w:val="center"/>
        </w:trPr>
        <w:tc>
          <w:tcPr>
            <w:tcW w:w="844" w:type="dxa"/>
            <w:vMerge/>
            <w:shd w:val="clear" w:color="auto" w:fill="auto"/>
            <w:hideMark/>
          </w:tcPr>
          <w:p w:rsidR="00284212" w:rsidRPr="00D405FB" w:rsidRDefault="00284212" w:rsidP="00284212">
            <w:pPr>
              <w:jc w:val="center"/>
              <w:rPr>
                <w:rFonts w:ascii="Calibri" w:eastAsia="Times New Roman" w:hAnsi="Calibri" w:cs="Calibri"/>
                <w:sz w:val="20"/>
                <w:szCs w:val="20"/>
                <w:lang w:eastAsia="en-GB"/>
              </w:rPr>
            </w:pPr>
          </w:p>
        </w:tc>
        <w:tc>
          <w:tcPr>
            <w:tcW w:w="1161" w:type="dxa"/>
            <w:shd w:val="clear" w:color="auto" w:fill="auto"/>
            <w:hideMark/>
          </w:tcPr>
          <w:p w:rsidR="00284212" w:rsidRPr="00D405FB" w:rsidRDefault="0009360C" w:rsidP="0009360C">
            <w:pPr>
              <w:jc w:val="center"/>
              <w:rPr>
                <w:rFonts w:ascii="Calibri" w:eastAsia="Times New Roman" w:hAnsi="Calibri" w:cs="Calibri"/>
                <w:sz w:val="20"/>
                <w:szCs w:val="20"/>
                <w:lang w:eastAsia="en-GB"/>
              </w:rPr>
            </w:pPr>
            <w:r>
              <w:rPr>
                <w:rFonts w:ascii="Calibri" w:eastAsia="Times New Roman" w:hAnsi="Calibri" w:cs="Calibri"/>
                <w:sz w:val="20"/>
                <w:szCs w:val="20"/>
                <w:lang w:eastAsia="en-GB"/>
              </w:rPr>
              <w:t>Number puppies born each year</w:t>
            </w:r>
          </w:p>
        </w:tc>
        <w:tc>
          <w:tcPr>
            <w:tcW w:w="805"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5-year rolling total</w:t>
            </w:r>
          </w:p>
        </w:tc>
        <w:tc>
          <w:tcPr>
            <w:tcW w:w="1094" w:type="dxa"/>
            <w:shd w:val="clear" w:color="auto" w:fill="auto"/>
            <w:hideMark/>
          </w:tcPr>
          <w:p w:rsidR="00284212" w:rsidRPr="00D405FB" w:rsidRDefault="0009360C" w:rsidP="0009360C">
            <w:pPr>
              <w:jc w:val="center"/>
              <w:rPr>
                <w:rFonts w:ascii="Calibri" w:eastAsia="Times New Roman" w:hAnsi="Calibri" w:cs="Calibri"/>
                <w:sz w:val="20"/>
                <w:szCs w:val="20"/>
                <w:lang w:eastAsia="en-GB"/>
              </w:rPr>
            </w:pPr>
            <w:r>
              <w:rPr>
                <w:rFonts w:ascii="Calibri" w:eastAsia="Times New Roman" w:hAnsi="Calibri" w:cs="Calibri"/>
                <w:sz w:val="20"/>
                <w:szCs w:val="20"/>
                <w:lang w:eastAsia="en-GB"/>
              </w:rPr>
              <w:t>Number puppies born each year</w:t>
            </w:r>
          </w:p>
        </w:tc>
        <w:tc>
          <w:tcPr>
            <w:tcW w:w="954"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5-year rolling total</w:t>
            </w:r>
          </w:p>
        </w:tc>
        <w:tc>
          <w:tcPr>
            <w:tcW w:w="1161" w:type="dxa"/>
            <w:shd w:val="clear" w:color="auto" w:fill="auto"/>
            <w:hideMark/>
          </w:tcPr>
          <w:p w:rsidR="00284212" w:rsidRPr="00D405FB" w:rsidRDefault="0009360C" w:rsidP="00284212">
            <w:pPr>
              <w:jc w:val="center"/>
              <w:rPr>
                <w:rFonts w:ascii="Calibri" w:eastAsia="Times New Roman" w:hAnsi="Calibri" w:cs="Calibri"/>
                <w:sz w:val="20"/>
                <w:szCs w:val="20"/>
                <w:lang w:eastAsia="en-GB"/>
              </w:rPr>
            </w:pPr>
            <w:r>
              <w:rPr>
                <w:rFonts w:ascii="Calibri" w:eastAsia="Times New Roman" w:hAnsi="Calibri" w:cs="Calibri"/>
                <w:sz w:val="20"/>
                <w:szCs w:val="20"/>
                <w:lang w:eastAsia="en-GB"/>
              </w:rPr>
              <w:t>Number puppies born each year</w:t>
            </w:r>
          </w:p>
        </w:tc>
        <w:tc>
          <w:tcPr>
            <w:tcW w:w="840"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5-year rolling total</w:t>
            </w:r>
          </w:p>
        </w:tc>
        <w:tc>
          <w:tcPr>
            <w:tcW w:w="1118" w:type="dxa"/>
            <w:shd w:val="clear" w:color="auto" w:fill="auto"/>
            <w:hideMark/>
          </w:tcPr>
          <w:p w:rsidR="00284212" w:rsidRPr="00D405FB" w:rsidRDefault="0009360C" w:rsidP="00284212">
            <w:pPr>
              <w:jc w:val="center"/>
              <w:rPr>
                <w:rFonts w:ascii="Calibri" w:eastAsia="Times New Roman" w:hAnsi="Calibri" w:cs="Calibri"/>
                <w:sz w:val="20"/>
                <w:szCs w:val="20"/>
                <w:lang w:eastAsia="en-GB"/>
              </w:rPr>
            </w:pPr>
            <w:r>
              <w:rPr>
                <w:rFonts w:ascii="Calibri" w:eastAsia="Times New Roman" w:hAnsi="Calibri" w:cs="Calibri"/>
                <w:sz w:val="20"/>
                <w:szCs w:val="20"/>
                <w:lang w:eastAsia="en-GB"/>
              </w:rPr>
              <w:t>Number puppies born each year</w:t>
            </w:r>
          </w:p>
        </w:tc>
        <w:tc>
          <w:tcPr>
            <w:tcW w:w="967"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5-year rolling total</w:t>
            </w:r>
          </w:p>
        </w:tc>
      </w:tr>
      <w:tr w:rsidR="0009360C" w:rsidRPr="00D405FB" w:rsidTr="0009360C">
        <w:trPr>
          <w:trHeight w:val="300"/>
          <w:jc w:val="center"/>
        </w:trPr>
        <w:tc>
          <w:tcPr>
            <w:tcW w:w="844"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2005</w:t>
            </w:r>
          </w:p>
        </w:tc>
        <w:tc>
          <w:tcPr>
            <w:tcW w:w="1161"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p>
        </w:tc>
        <w:tc>
          <w:tcPr>
            <w:tcW w:w="805"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p>
        </w:tc>
        <w:tc>
          <w:tcPr>
            <w:tcW w:w="1094"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14</w:t>
            </w:r>
          </w:p>
        </w:tc>
        <w:tc>
          <w:tcPr>
            <w:tcW w:w="954"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p>
        </w:tc>
        <w:tc>
          <w:tcPr>
            <w:tcW w:w="1161"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p>
        </w:tc>
        <w:tc>
          <w:tcPr>
            <w:tcW w:w="840"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p>
        </w:tc>
        <w:tc>
          <w:tcPr>
            <w:tcW w:w="1118"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p>
        </w:tc>
        <w:tc>
          <w:tcPr>
            <w:tcW w:w="967"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p>
        </w:tc>
      </w:tr>
      <w:tr w:rsidR="0009360C" w:rsidRPr="00D405FB" w:rsidTr="0009360C">
        <w:trPr>
          <w:trHeight w:val="300"/>
          <w:jc w:val="center"/>
        </w:trPr>
        <w:tc>
          <w:tcPr>
            <w:tcW w:w="844"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2006</w:t>
            </w:r>
          </w:p>
        </w:tc>
        <w:tc>
          <w:tcPr>
            <w:tcW w:w="1161"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p>
        </w:tc>
        <w:tc>
          <w:tcPr>
            <w:tcW w:w="805"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p>
        </w:tc>
        <w:tc>
          <w:tcPr>
            <w:tcW w:w="1094"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14</w:t>
            </w:r>
          </w:p>
        </w:tc>
        <w:tc>
          <w:tcPr>
            <w:tcW w:w="954"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p>
        </w:tc>
        <w:tc>
          <w:tcPr>
            <w:tcW w:w="1161"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p>
        </w:tc>
        <w:tc>
          <w:tcPr>
            <w:tcW w:w="840"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p>
        </w:tc>
        <w:tc>
          <w:tcPr>
            <w:tcW w:w="1118"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p>
        </w:tc>
        <w:tc>
          <w:tcPr>
            <w:tcW w:w="967"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p>
        </w:tc>
      </w:tr>
      <w:tr w:rsidR="0009360C" w:rsidRPr="00D405FB" w:rsidTr="0009360C">
        <w:trPr>
          <w:trHeight w:val="300"/>
          <w:jc w:val="center"/>
        </w:trPr>
        <w:tc>
          <w:tcPr>
            <w:tcW w:w="844"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2007</w:t>
            </w:r>
          </w:p>
        </w:tc>
        <w:tc>
          <w:tcPr>
            <w:tcW w:w="1161"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p>
        </w:tc>
        <w:tc>
          <w:tcPr>
            <w:tcW w:w="805"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p>
        </w:tc>
        <w:tc>
          <w:tcPr>
            <w:tcW w:w="1094"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0</w:t>
            </w:r>
          </w:p>
        </w:tc>
        <w:tc>
          <w:tcPr>
            <w:tcW w:w="954"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p>
        </w:tc>
        <w:tc>
          <w:tcPr>
            <w:tcW w:w="1161"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p>
        </w:tc>
        <w:tc>
          <w:tcPr>
            <w:tcW w:w="840"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p>
        </w:tc>
        <w:tc>
          <w:tcPr>
            <w:tcW w:w="1118"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p>
        </w:tc>
        <w:tc>
          <w:tcPr>
            <w:tcW w:w="967"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p>
        </w:tc>
      </w:tr>
      <w:tr w:rsidR="0009360C" w:rsidRPr="00D405FB" w:rsidTr="0009360C">
        <w:trPr>
          <w:trHeight w:val="300"/>
          <w:jc w:val="center"/>
        </w:trPr>
        <w:tc>
          <w:tcPr>
            <w:tcW w:w="844"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2008</w:t>
            </w:r>
          </w:p>
        </w:tc>
        <w:tc>
          <w:tcPr>
            <w:tcW w:w="1161"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31</w:t>
            </w:r>
          </w:p>
        </w:tc>
        <w:tc>
          <w:tcPr>
            <w:tcW w:w="805"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p>
        </w:tc>
        <w:tc>
          <w:tcPr>
            <w:tcW w:w="1094"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0</w:t>
            </w:r>
          </w:p>
        </w:tc>
        <w:tc>
          <w:tcPr>
            <w:tcW w:w="954"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p>
        </w:tc>
        <w:tc>
          <w:tcPr>
            <w:tcW w:w="1161"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p>
        </w:tc>
        <w:tc>
          <w:tcPr>
            <w:tcW w:w="840"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p>
        </w:tc>
        <w:tc>
          <w:tcPr>
            <w:tcW w:w="1118"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5</w:t>
            </w:r>
          </w:p>
        </w:tc>
        <w:tc>
          <w:tcPr>
            <w:tcW w:w="967"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p>
        </w:tc>
      </w:tr>
      <w:tr w:rsidR="0009360C" w:rsidRPr="00D405FB" w:rsidTr="0009360C">
        <w:trPr>
          <w:trHeight w:val="300"/>
          <w:jc w:val="center"/>
        </w:trPr>
        <w:tc>
          <w:tcPr>
            <w:tcW w:w="844"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2009</w:t>
            </w:r>
          </w:p>
        </w:tc>
        <w:tc>
          <w:tcPr>
            <w:tcW w:w="1161"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26</w:t>
            </w:r>
          </w:p>
        </w:tc>
        <w:tc>
          <w:tcPr>
            <w:tcW w:w="805"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p>
        </w:tc>
        <w:tc>
          <w:tcPr>
            <w:tcW w:w="1094"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6</w:t>
            </w:r>
          </w:p>
        </w:tc>
        <w:tc>
          <w:tcPr>
            <w:tcW w:w="954"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34</w:t>
            </w:r>
          </w:p>
        </w:tc>
        <w:tc>
          <w:tcPr>
            <w:tcW w:w="1161"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p>
        </w:tc>
        <w:tc>
          <w:tcPr>
            <w:tcW w:w="840"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p>
        </w:tc>
        <w:tc>
          <w:tcPr>
            <w:tcW w:w="1118"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4</w:t>
            </w:r>
          </w:p>
        </w:tc>
        <w:tc>
          <w:tcPr>
            <w:tcW w:w="967"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p>
        </w:tc>
      </w:tr>
      <w:tr w:rsidR="0009360C" w:rsidRPr="00D405FB" w:rsidTr="0009360C">
        <w:trPr>
          <w:trHeight w:val="300"/>
          <w:jc w:val="center"/>
        </w:trPr>
        <w:tc>
          <w:tcPr>
            <w:tcW w:w="844"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2010</w:t>
            </w:r>
          </w:p>
        </w:tc>
        <w:tc>
          <w:tcPr>
            <w:tcW w:w="1161"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22</w:t>
            </w:r>
          </w:p>
        </w:tc>
        <w:tc>
          <w:tcPr>
            <w:tcW w:w="805"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p>
        </w:tc>
        <w:tc>
          <w:tcPr>
            <w:tcW w:w="1094"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23</w:t>
            </w:r>
          </w:p>
        </w:tc>
        <w:tc>
          <w:tcPr>
            <w:tcW w:w="954"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43</w:t>
            </w:r>
          </w:p>
        </w:tc>
        <w:tc>
          <w:tcPr>
            <w:tcW w:w="1161"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p>
        </w:tc>
        <w:tc>
          <w:tcPr>
            <w:tcW w:w="840"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p>
        </w:tc>
        <w:tc>
          <w:tcPr>
            <w:tcW w:w="1118"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7</w:t>
            </w:r>
          </w:p>
        </w:tc>
        <w:tc>
          <w:tcPr>
            <w:tcW w:w="967"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p>
        </w:tc>
      </w:tr>
      <w:tr w:rsidR="0009360C" w:rsidRPr="00D405FB" w:rsidTr="0009360C">
        <w:trPr>
          <w:trHeight w:val="300"/>
          <w:jc w:val="center"/>
        </w:trPr>
        <w:tc>
          <w:tcPr>
            <w:tcW w:w="844"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2011</w:t>
            </w:r>
          </w:p>
        </w:tc>
        <w:tc>
          <w:tcPr>
            <w:tcW w:w="1161"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8</w:t>
            </w:r>
          </w:p>
        </w:tc>
        <w:tc>
          <w:tcPr>
            <w:tcW w:w="805"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p>
        </w:tc>
        <w:tc>
          <w:tcPr>
            <w:tcW w:w="1094"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5</w:t>
            </w:r>
          </w:p>
        </w:tc>
        <w:tc>
          <w:tcPr>
            <w:tcW w:w="954"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48</w:t>
            </w:r>
          </w:p>
        </w:tc>
        <w:tc>
          <w:tcPr>
            <w:tcW w:w="1161"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3</w:t>
            </w:r>
          </w:p>
        </w:tc>
        <w:tc>
          <w:tcPr>
            <w:tcW w:w="840"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p>
        </w:tc>
        <w:tc>
          <w:tcPr>
            <w:tcW w:w="1118"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10</w:t>
            </w:r>
          </w:p>
        </w:tc>
        <w:tc>
          <w:tcPr>
            <w:tcW w:w="967"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p>
        </w:tc>
      </w:tr>
      <w:tr w:rsidR="0009360C" w:rsidRPr="00D405FB" w:rsidTr="0009360C">
        <w:trPr>
          <w:trHeight w:val="300"/>
          <w:jc w:val="center"/>
        </w:trPr>
        <w:tc>
          <w:tcPr>
            <w:tcW w:w="844"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2012</w:t>
            </w:r>
          </w:p>
        </w:tc>
        <w:tc>
          <w:tcPr>
            <w:tcW w:w="1161"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0</w:t>
            </w:r>
          </w:p>
        </w:tc>
        <w:tc>
          <w:tcPr>
            <w:tcW w:w="805" w:type="dxa"/>
            <w:shd w:val="clear" w:color="auto" w:fill="D9D9D9" w:themeFill="background1" w:themeFillShade="D9"/>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87</w:t>
            </w:r>
          </w:p>
        </w:tc>
        <w:tc>
          <w:tcPr>
            <w:tcW w:w="1094"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0</w:t>
            </w:r>
          </w:p>
        </w:tc>
        <w:tc>
          <w:tcPr>
            <w:tcW w:w="954"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48</w:t>
            </w:r>
          </w:p>
        </w:tc>
        <w:tc>
          <w:tcPr>
            <w:tcW w:w="1161"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6</w:t>
            </w:r>
          </w:p>
        </w:tc>
        <w:tc>
          <w:tcPr>
            <w:tcW w:w="840"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p>
        </w:tc>
        <w:tc>
          <w:tcPr>
            <w:tcW w:w="1118"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7</w:t>
            </w:r>
          </w:p>
        </w:tc>
        <w:tc>
          <w:tcPr>
            <w:tcW w:w="967"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33</w:t>
            </w:r>
          </w:p>
        </w:tc>
      </w:tr>
      <w:tr w:rsidR="0009360C" w:rsidRPr="00D405FB" w:rsidTr="0009360C">
        <w:trPr>
          <w:trHeight w:val="300"/>
          <w:jc w:val="center"/>
        </w:trPr>
        <w:tc>
          <w:tcPr>
            <w:tcW w:w="844"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2013</w:t>
            </w:r>
          </w:p>
        </w:tc>
        <w:tc>
          <w:tcPr>
            <w:tcW w:w="1161"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7</w:t>
            </w:r>
          </w:p>
        </w:tc>
        <w:tc>
          <w:tcPr>
            <w:tcW w:w="805" w:type="dxa"/>
            <w:shd w:val="clear" w:color="auto" w:fill="D9D9D9" w:themeFill="background1" w:themeFillShade="D9"/>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63</w:t>
            </w:r>
          </w:p>
        </w:tc>
        <w:tc>
          <w:tcPr>
            <w:tcW w:w="1094"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12</w:t>
            </w:r>
          </w:p>
        </w:tc>
        <w:tc>
          <w:tcPr>
            <w:tcW w:w="954"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46</w:t>
            </w:r>
          </w:p>
        </w:tc>
        <w:tc>
          <w:tcPr>
            <w:tcW w:w="1161"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22</w:t>
            </w:r>
          </w:p>
        </w:tc>
        <w:tc>
          <w:tcPr>
            <w:tcW w:w="840"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p>
        </w:tc>
        <w:tc>
          <w:tcPr>
            <w:tcW w:w="1118"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11</w:t>
            </w:r>
          </w:p>
        </w:tc>
        <w:tc>
          <w:tcPr>
            <w:tcW w:w="967"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39</w:t>
            </w:r>
          </w:p>
        </w:tc>
      </w:tr>
      <w:tr w:rsidR="0009360C" w:rsidRPr="00D405FB" w:rsidTr="0009360C">
        <w:trPr>
          <w:trHeight w:val="300"/>
          <w:jc w:val="center"/>
        </w:trPr>
        <w:tc>
          <w:tcPr>
            <w:tcW w:w="844"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2014</w:t>
            </w:r>
          </w:p>
        </w:tc>
        <w:tc>
          <w:tcPr>
            <w:tcW w:w="1161"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0</w:t>
            </w:r>
          </w:p>
        </w:tc>
        <w:tc>
          <w:tcPr>
            <w:tcW w:w="805"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37</w:t>
            </w:r>
          </w:p>
        </w:tc>
        <w:tc>
          <w:tcPr>
            <w:tcW w:w="1094"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5</w:t>
            </w:r>
          </w:p>
        </w:tc>
        <w:tc>
          <w:tcPr>
            <w:tcW w:w="954"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45</w:t>
            </w:r>
          </w:p>
        </w:tc>
        <w:tc>
          <w:tcPr>
            <w:tcW w:w="1161"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26</w:t>
            </w:r>
          </w:p>
        </w:tc>
        <w:tc>
          <w:tcPr>
            <w:tcW w:w="840"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p>
        </w:tc>
        <w:tc>
          <w:tcPr>
            <w:tcW w:w="1118"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5</w:t>
            </w:r>
          </w:p>
        </w:tc>
        <w:tc>
          <w:tcPr>
            <w:tcW w:w="967"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40</w:t>
            </w:r>
          </w:p>
        </w:tc>
      </w:tr>
      <w:tr w:rsidR="0009360C" w:rsidRPr="00D405FB" w:rsidTr="0009360C">
        <w:trPr>
          <w:trHeight w:val="300"/>
          <w:jc w:val="center"/>
        </w:trPr>
        <w:tc>
          <w:tcPr>
            <w:tcW w:w="844"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2015</w:t>
            </w:r>
          </w:p>
        </w:tc>
        <w:tc>
          <w:tcPr>
            <w:tcW w:w="1161"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6</w:t>
            </w:r>
          </w:p>
        </w:tc>
        <w:tc>
          <w:tcPr>
            <w:tcW w:w="805"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21</w:t>
            </w:r>
          </w:p>
        </w:tc>
        <w:tc>
          <w:tcPr>
            <w:tcW w:w="1094"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10</w:t>
            </w:r>
          </w:p>
        </w:tc>
        <w:tc>
          <w:tcPr>
            <w:tcW w:w="954"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42</w:t>
            </w:r>
          </w:p>
        </w:tc>
        <w:tc>
          <w:tcPr>
            <w:tcW w:w="1161"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7</w:t>
            </w:r>
          </w:p>
        </w:tc>
        <w:tc>
          <w:tcPr>
            <w:tcW w:w="840" w:type="dxa"/>
            <w:shd w:val="clear" w:color="auto" w:fill="D9D9D9" w:themeFill="background1" w:themeFillShade="D9"/>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64</w:t>
            </w:r>
          </w:p>
        </w:tc>
        <w:tc>
          <w:tcPr>
            <w:tcW w:w="1118"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2</w:t>
            </w:r>
          </w:p>
        </w:tc>
        <w:tc>
          <w:tcPr>
            <w:tcW w:w="967" w:type="dxa"/>
            <w:shd w:val="clear" w:color="auto" w:fill="auto"/>
            <w:hideMark/>
          </w:tcPr>
          <w:p w:rsidR="00284212" w:rsidRPr="00D405FB" w:rsidRDefault="00284212" w:rsidP="00284212">
            <w:pPr>
              <w:jc w:val="center"/>
              <w:rPr>
                <w:rFonts w:ascii="Calibri" w:eastAsia="Times New Roman" w:hAnsi="Calibri" w:cs="Calibri"/>
                <w:sz w:val="20"/>
                <w:szCs w:val="20"/>
                <w:lang w:eastAsia="en-GB"/>
              </w:rPr>
            </w:pPr>
            <w:r w:rsidRPr="00D405FB">
              <w:rPr>
                <w:rFonts w:ascii="Calibri" w:eastAsia="Times New Roman" w:hAnsi="Calibri" w:cs="Calibri"/>
                <w:sz w:val="20"/>
                <w:szCs w:val="20"/>
                <w:lang w:eastAsia="en-GB"/>
              </w:rPr>
              <w:t>35</w:t>
            </w:r>
          </w:p>
        </w:tc>
      </w:tr>
    </w:tbl>
    <w:p w:rsidR="0009360C" w:rsidRDefault="0009360C" w:rsidP="00FB2991">
      <w:pPr>
        <w:jc w:val="both"/>
        <w:rPr>
          <w:b/>
          <w:sz w:val="28"/>
          <w:szCs w:val="28"/>
        </w:rPr>
      </w:pPr>
    </w:p>
    <w:p w:rsidR="00C46C08" w:rsidRDefault="00C46C08" w:rsidP="00FB2991">
      <w:pPr>
        <w:jc w:val="both"/>
        <w:rPr>
          <w:b/>
          <w:sz w:val="28"/>
          <w:szCs w:val="28"/>
        </w:rPr>
      </w:pPr>
    </w:p>
    <w:p w:rsidR="00C46C08" w:rsidRDefault="00C46C08" w:rsidP="00FB2991">
      <w:pPr>
        <w:jc w:val="both"/>
        <w:rPr>
          <w:b/>
          <w:sz w:val="28"/>
          <w:szCs w:val="28"/>
        </w:rPr>
      </w:pPr>
    </w:p>
    <w:p w:rsidR="000F074B" w:rsidRPr="00D405FB" w:rsidRDefault="0009360C" w:rsidP="00FB2991">
      <w:pPr>
        <w:jc w:val="both"/>
        <w:rPr>
          <w:b/>
          <w:sz w:val="28"/>
          <w:szCs w:val="28"/>
        </w:rPr>
      </w:pPr>
      <w:r>
        <w:rPr>
          <w:b/>
          <w:sz w:val="28"/>
          <w:szCs w:val="28"/>
        </w:rPr>
        <w:t>1.</w:t>
      </w:r>
      <w:r w:rsidR="00512456" w:rsidRPr="00D405FB">
        <w:rPr>
          <w:b/>
          <w:sz w:val="28"/>
          <w:szCs w:val="28"/>
        </w:rPr>
        <w:t>4</w:t>
      </w:r>
      <w:r w:rsidR="000F074B" w:rsidRPr="00D405FB">
        <w:rPr>
          <w:b/>
          <w:sz w:val="28"/>
          <w:szCs w:val="28"/>
        </w:rPr>
        <w:t xml:space="preserve"> </w:t>
      </w:r>
      <w:r w:rsidR="00E15EB1" w:rsidRPr="00D405FB">
        <w:rPr>
          <w:b/>
          <w:sz w:val="28"/>
          <w:szCs w:val="28"/>
        </w:rPr>
        <w:t xml:space="preserve">  </w:t>
      </w:r>
      <w:r w:rsidR="000F074B" w:rsidRPr="00D405FB">
        <w:rPr>
          <w:b/>
          <w:sz w:val="28"/>
          <w:szCs w:val="28"/>
        </w:rPr>
        <w:t xml:space="preserve">Repeat </w:t>
      </w:r>
      <w:proofErr w:type="spellStart"/>
      <w:r w:rsidR="000F074B" w:rsidRPr="00D405FB">
        <w:rPr>
          <w:b/>
          <w:sz w:val="28"/>
          <w:szCs w:val="28"/>
        </w:rPr>
        <w:t>Matings</w:t>
      </w:r>
      <w:proofErr w:type="spellEnd"/>
    </w:p>
    <w:p w:rsidR="00865F24" w:rsidRPr="00D405FB" w:rsidRDefault="00B617DA" w:rsidP="00FB2991">
      <w:pPr>
        <w:jc w:val="both"/>
      </w:pPr>
      <w:r>
        <w:t xml:space="preserve">The use of repeat </w:t>
      </w:r>
      <w:proofErr w:type="spellStart"/>
      <w:r>
        <w:t>matings</w:t>
      </w:r>
      <w:proofErr w:type="spellEnd"/>
      <w:r>
        <w:t xml:space="preserve"> is another factor which can lead to a loss of genetic diversity in a breed. </w:t>
      </w:r>
      <w:r w:rsidR="00F915C1">
        <w:t>In 2015 three</w:t>
      </w:r>
      <w:r w:rsidR="00865F24" w:rsidRPr="00D405FB">
        <w:t xml:space="preserve"> </w:t>
      </w:r>
      <w:proofErr w:type="spellStart"/>
      <w:r w:rsidR="00865F24" w:rsidRPr="00D405FB">
        <w:t>matings</w:t>
      </w:r>
      <w:proofErr w:type="spellEnd"/>
      <w:r w:rsidR="00865F24" w:rsidRPr="00D405FB">
        <w:t xml:space="preserve"> were repeated for the second time and one mating repeated for the third time.</w:t>
      </w:r>
    </w:p>
    <w:p w:rsidR="00865F24" w:rsidRPr="00D405FB" w:rsidRDefault="00865F24" w:rsidP="00FB2991">
      <w:pPr>
        <w:jc w:val="both"/>
      </w:pPr>
    </w:p>
    <w:p w:rsidR="00865F24" w:rsidRPr="00D405FB" w:rsidRDefault="00865F24" w:rsidP="00FB2991">
      <w:pPr>
        <w:jc w:val="both"/>
      </w:pPr>
      <w:r w:rsidRPr="00D405FB">
        <w:t xml:space="preserve">Looking back over the previous ten years the number of repeat </w:t>
      </w:r>
      <w:proofErr w:type="spellStart"/>
      <w:r w:rsidRPr="00D405FB">
        <w:t>matings</w:t>
      </w:r>
      <w:proofErr w:type="spellEnd"/>
      <w:r w:rsidRPr="00D405FB">
        <w:t xml:space="preserve"> has decreased. In four of the past ten years 20% or more were repeat </w:t>
      </w:r>
      <w:proofErr w:type="spellStart"/>
      <w:r w:rsidRPr="00D405FB">
        <w:t>matings</w:t>
      </w:r>
      <w:proofErr w:type="spellEnd"/>
      <w:r w:rsidRPr="00D405FB">
        <w:t xml:space="preserve">; </w:t>
      </w:r>
      <w:r w:rsidR="0076145C">
        <w:t xml:space="preserve">after a decrease the percentage has risen again </w:t>
      </w:r>
      <w:r w:rsidRPr="00D405FB">
        <w:t xml:space="preserve">in 2015 </w:t>
      </w:r>
      <w:r w:rsidR="0076145C">
        <w:t>to 11% as</w:t>
      </w:r>
      <w:r w:rsidRPr="00D405FB">
        <w:t xml:space="preserve"> can be seen in the figure below.</w:t>
      </w:r>
    </w:p>
    <w:p w:rsidR="00865F24" w:rsidRPr="00D405FB" w:rsidRDefault="00865F24" w:rsidP="00FB2991">
      <w:pPr>
        <w:jc w:val="both"/>
      </w:pPr>
    </w:p>
    <w:p w:rsidR="00865F24" w:rsidRPr="00D405FB" w:rsidRDefault="0076145C" w:rsidP="00865F24">
      <w:pPr>
        <w:jc w:val="center"/>
      </w:pPr>
      <w:r w:rsidRPr="0076145C">
        <w:rPr>
          <w:noProof/>
          <w:lang w:eastAsia="en-GB"/>
        </w:rPr>
        <w:lastRenderedPageBreak/>
        <w:drawing>
          <wp:inline distT="0" distB="0" distL="0" distR="0">
            <wp:extent cx="5724525" cy="274320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6FDA" w:rsidRPr="00D405FB" w:rsidRDefault="005F6FDA" w:rsidP="00865F24">
      <w:pPr>
        <w:jc w:val="center"/>
      </w:pPr>
    </w:p>
    <w:p w:rsidR="00865F24" w:rsidRPr="00D405FB" w:rsidRDefault="00865F24" w:rsidP="00865F24">
      <w:pPr>
        <w:jc w:val="center"/>
        <w:rPr>
          <w:b/>
          <w:i/>
        </w:rPr>
      </w:pPr>
      <w:r w:rsidRPr="00D405FB">
        <w:rPr>
          <w:b/>
          <w:i/>
        </w:rPr>
        <w:t xml:space="preserve">Figure </w:t>
      </w:r>
      <w:proofErr w:type="gramStart"/>
      <w:r w:rsidRPr="00D405FB">
        <w:rPr>
          <w:b/>
          <w:i/>
        </w:rPr>
        <w:t xml:space="preserve">6 </w:t>
      </w:r>
      <w:r w:rsidR="005F6FDA" w:rsidRPr="00D405FB">
        <w:rPr>
          <w:b/>
          <w:i/>
        </w:rPr>
        <w:t xml:space="preserve"> </w:t>
      </w:r>
      <w:r w:rsidRPr="00D405FB">
        <w:rPr>
          <w:b/>
          <w:i/>
        </w:rPr>
        <w:t>Number</w:t>
      </w:r>
      <w:proofErr w:type="gramEnd"/>
      <w:r w:rsidRPr="00D405FB">
        <w:rPr>
          <w:b/>
          <w:i/>
        </w:rPr>
        <w:t xml:space="preserve"> of repeat </w:t>
      </w:r>
      <w:proofErr w:type="spellStart"/>
      <w:r w:rsidRPr="00D405FB">
        <w:rPr>
          <w:b/>
          <w:i/>
        </w:rPr>
        <w:t>matings</w:t>
      </w:r>
      <w:proofErr w:type="spellEnd"/>
      <w:r w:rsidRPr="00D405FB">
        <w:rPr>
          <w:b/>
          <w:i/>
        </w:rPr>
        <w:t xml:space="preserve"> as a percentage of the total number of </w:t>
      </w:r>
      <w:proofErr w:type="spellStart"/>
      <w:r w:rsidRPr="00D405FB">
        <w:rPr>
          <w:b/>
          <w:i/>
        </w:rPr>
        <w:t>matings</w:t>
      </w:r>
      <w:proofErr w:type="spellEnd"/>
      <w:r w:rsidRPr="00D405FB">
        <w:rPr>
          <w:b/>
          <w:i/>
        </w:rPr>
        <w:t xml:space="preserve"> per year</w:t>
      </w:r>
    </w:p>
    <w:p w:rsidR="00865F24" w:rsidRPr="00D405FB" w:rsidRDefault="00865F24" w:rsidP="00865F24">
      <w:pPr>
        <w:jc w:val="center"/>
        <w:rPr>
          <w:b/>
          <w:i/>
        </w:rPr>
      </w:pPr>
      <w:r w:rsidRPr="00D405FB">
        <w:rPr>
          <w:b/>
          <w:i/>
        </w:rPr>
        <w:t>The red line represents the downward trend over the past ten years</w:t>
      </w:r>
    </w:p>
    <w:p w:rsidR="000C0D17" w:rsidRDefault="000C0D17" w:rsidP="00FB2991">
      <w:pPr>
        <w:jc w:val="both"/>
      </w:pPr>
    </w:p>
    <w:p w:rsidR="00580D97" w:rsidRDefault="00580D97" w:rsidP="00FB2991">
      <w:pPr>
        <w:jc w:val="both"/>
      </w:pPr>
    </w:p>
    <w:p w:rsidR="00865F24" w:rsidRDefault="00B617DA" w:rsidP="00FB2991">
      <w:pPr>
        <w:jc w:val="both"/>
      </w:pPr>
      <w:r>
        <w:t>During the past ten years</w:t>
      </w:r>
      <w:r w:rsidR="005F6FDA" w:rsidRPr="00D405FB">
        <w:t xml:space="preserve"> some </w:t>
      </w:r>
      <w:proofErr w:type="spellStart"/>
      <w:r w:rsidR="005F6FDA" w:rsidRPr="00D405FB">
        <w:t>matings</w:t>
      </w:r>
      <w:proofErr w:type="spellEnd"/>
      <w:r w:rsidR="005F6FDA" w:rsidRPr="00D405FB">
        <w:t xml:space="preserve"> </w:t>
      </w:r>
      <w:r>
        <w:t>have been</w:t>
      </w:r>
      <w:r w:rsidR="005F6FDA" w:rsidRPr="00D405FB">
        <w:t xml:space="preserve"> repeated three or ev</w:t>
      </w:r>
      <w:r>
        <w:t xml:space="preserve">en four times. The next figure </w:t>
      </w:r>
      <w:r w:rsidR="005F6FDA" w:rsidRPr="00D405FB">
        <w:t>shows the number of second, third or fourth repeats in each year.</w:t>
      </w:r>
    </w:p>
    <w:p w:rsidR="000C0D17" w:rsidRDefault="000C0D17" w:rsidP="00FB2991">
      <w:pPr>
        <w:jc w:val="both"/>
      </w:pPr>
    </w:p>
    <w:p w:rsidR="00865F24" w:rsidRPr="00D405FB" w:rsidRDefault="00F915C1" w:rsidP="00F915C1">
      <w:pPr>
        <w:jc w:val="center"/>
      </w:pPr>
      <w:r w:rsidRPr="00F915C1">
        <w:rPr>
          <w:noProof/>
          <w:lang w:eastAsia="en-GB"/>
        </w:rPr>
        <w:drawing>
          <wp:inline distT="0" distB="0" distL="0" distR="0">
            <wp:extent cx="5181600" cy="3476625"/>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65F24" w:rsidRPr="00D405FB" w:rsidRDefault="00865F24" w:rsidP="00FB2991">
      <w:pPr>
        <w:jc w:val="both"/>
        <w:rPr>
          <w:b/>
          <w:sz w:val="28"/>
          <w:szCs w:val="28"/>
        </w:rPr>
      </w:pPr>
    </w:p>
    <w:p w:rsidR="005F6FDA" w:rsidRPr="00D405FB" w:rsidRDefault="005F6FDA" w:rsidP="005F6FDA">
      <w:pPr>
        <w:jc w:val="center"/>
        <w:rPr>
          <w:b/>
          <w:i/>
        </w:rPr>
      </w:pPr>
      <w:r w:rsidRPr="00D405FB">
        <w:rPr>
          <w:b/>
          <w:i/>
        </w:rPr>
        <w:t xml:space="preserve">Figure 7 </w:t>
      </w:r>
      <w:proofErr w:type="gramStart"/>
      <w:r w:rsidR="00B617DA">
        <w:rPr>
          <w:b/>
          <w:i/>
        </w:rPr>
        <w:t>The</w:t>
      </w:r>
      <w:proofErr w:type="gramEnd"/>
      <w:r w:rsidRPr="00D405FB">
        <w:rPr>
          <w:b/>
          <w:i/>
        </w:rPr>
        <w:t xml:space="preserve"> </w:t>
      </w:r>
      <w:r w:rsidR="0076145C">
        <w:rPr>
          <w:b/>
          <w:i/>
        </w:rPr>
        <w:t xml:space="preserve">stacked </w:t>
      </w:r>
      <w:r w:rsidRPr="00D405FB">
        <w:rPr>
          <w:b/>
          <w:i/>
        </w:rPr>
        <w:t>column</w:t>
      </w:r>
      <w:r w:rsidR="00B617DA">
        <w:rPr>
          <w:b/>
          <w:i/>
        </w:rPr>
        <w:t>s</w:t>
      </w:r>
      <w:r w:rsidRPr="00D405FB">
        <w:rPr>
          <w:b/>
          <w:i/>
        </w:rPr>
        <w:t xml:space="preserve"> represent the number of repeat </w:t>
      </w:r>
      <w:proofErr w:type="spellStart"/>
      <w:r w:rsidRPr="00D405FB">
        <w:rPr>
          <w:b/>
          <w:i/>
        </w:rPr>
        <w:t>matings</w:t>
      </w:r>
      <w:proofErr w:type="spellEnd"/>
      <w:r w:rsidRPr="00D405FB">
        <w:rPr>
          <w:b/>
          <w:i/>
        </w:rPr>
        <w:t xml:space="preserve"> per year.</w:t>
      </w:r>
    </w:p>
    <w:p w:rsidR="005F6FDA" w:rsidRPr="00D405FB" w:rsidRDefault="005F6FDA" w:rsidP="005F6FDA">
      <w:pPr>
        <w:jc w:val="center"/>
        <w:rPr>
          <w:b/>
          <w:i/>
        </w:rPr>
      </w:pPr>
      <w:r w:rsidRPr="00D405FB">
        <w:rPr>
          <w:b/>
          <w:i/>
        </w:rPr>
        <w:t>They are divided into different colours to show the split between second, third and fourth repeats.</w:t>
      </w:r>
    </w:p>
    <w:p w:rsidR="00EB740D" w:rsidRPr="0009360C" w:rsidRDefault="00865F24" w:rsidP="00B71DD7">
      <w:pPr>
        <w:jc w:val="both"/>
        <w:rPr>
          <w:b/>
          <w:sz w:val="32"/>
          <w:szCs w:val="32"/>
        </w:rPr>
      </w:pPr>
      <w:r w:rsidRPr="00D405FB">
        <w:rPr>
          <w:b/>
          <w:sz w:val="28"/>
          <w:szCs w:val="28"/>
        </w:rPr>
        <w:br w:type="column"/>
      </w:r>
      <w:r w:rsidR="0009360C" w:rsidRPr="0009360C">
        <w:rPr>
          <w:b/>
          <w:sz w:val="32"/>
          <w:szCs w:val="32"/>
        </w:rPr>
        <w:lastRenderedPageBreak/>
        <w:t>2</w:t>
      </w:r>
      <w:r w:rsidR="00B617DA" w:rsidRPr="0009360C">
        <w:rPr>
          <w:b/>
          <w:sz w:val="32"/>
          <w:szCs w:val="32"/>
        </w:rPr>
        <w:t xml:space="preserve"> </w:t>
      </w:r>
      <w:r w:rsidR="00EB740D" w:rsidRPr="0009360C">
        <w:rPr>
          <w:b/>
          <w:sz w:val="32"/>
          <w:szCs w:val="32"/>
        </w:rPr>
        <w:t>Use of Health Screening</w:t>
      </w:r>
    </w:p>
    <w:p w:rsidR="00EB740D" w:rsidRPr="00D405FB" w:rsidRDefault="00EB740D" w:rsidP="00B71DD7">
      <w:pPr>
        <w:jc w:val="both"/>
      </w:pPr>
    </w:p>
    <w:p w:rsidR="00433013" w:rsidRDefault="004565E8" w:rsidP="00B71DD7">
      <w:pPr>
        <w:jc w:val="both"/>
      </w:pPr>
      <w:r>
        <w:t>The Breed Health Plan recommends use of four health screening schemes</w:t>
      </w:r>
      <w:r w:rsidR="003E139C">
        <w:t xml:space="preserve"> or tests</w:t>
      </w:r>
      <w:r>
        <w:t xml:space="preserve">: BVA/KC schemes for hip scoring and eye tests; and DNA tests for </w:t>
      </w:r>
      <w:proofErr w:type="spellStart"/>
      <w:r w:rsidRPr="004565E8">
        <w:t>Pyruvate</w:t>
      </w:r>
      <w:proofErr w:type="spellEnd"/>
      <w:r w:rsidRPr="004565E8">
        <w:t xml:space="preserve"> </w:t>
      </w:r>
      <w:proofErr w:type="spellStart"/>
      <w:r w:rsidRPr="004565E8">
        <w:t>Dehydrogenase</w:t>
      </w:r>
      <w:proofErr w:type="spellEnd"/>
      <w:r w:rsidRPr="004565E8">
        <w:t xml:space="preserve"> </w:t>
      </w:r>
      <w:proofErr w:type="spellStart"/>
      <w:r w:rsidRPr="004565E8">
        <w:t>Phosphatase</w:t>
      </w:r>
      <w:proofErr w:type="spellEnd"/>
      <w:r w:rsidRPr="004565E8">
        <w:t xml:space="preserve"> </w:t>
      </w:r>
      <w:proofErr w:type="spellStart"/>
      <w:r w:rsidRPr="004565E8">
        <w:t>Defficiency</w:t>
      </w:r>
      <w:proofErr w:type="spellEnd"/>
      <w:r w:rsidRPr="004565E8">
        <w:t xml:space="preserve"> (PDP1)</w:t>
      </w:r>
      <w:r>
        <w:t xml:space="preserve"> and Exercise Induced Collapse (EIC).</w:t>
      </w:r>
      <w:r w:rsidR="0009360C">
        <w:t xml:space="preserve"> </w:t>
      </w:r>
    </w:p>
    <w:p w:rsidR="00433013" w:rsidRDefault="00433013" w:rsidP="00B71DD7">
      <w:pPr>
        <w:jc w:val="both"/>
      </w:pPr>
    </w:p>
    <w:p w:rsidR="00433013" w:rsidRDefault="0013308F" w:rsidP="00B71DD7">
      <w:pPr>
        <w:jc w:val="both"/>
      </w:pPr>
      <w:r>
        <w:t>Clumber breeders who are members of the KC Assured Breeder Scheme are required to have their breeding stock hip scored and DNA tested</w:t>
      </w:r>
      <w:r w:rsidR="00433013">
        <w:t xml:space="preserve"> for EIC</w:t>
      </w:r>
      <w:r>
        <w:t>. I</w:t>
      </w:r>
      <w:r w:rsidR="00433013">
        <w:t xml:space="preserve">t is also a recommendation </w:t>
      </w:r>
      <w:r>
        <w:t>for scheme members that their dogs</w:t>
      </w:r>
      <w:r w:rsidR="00433013">
        <w:t xml:space="preserve"> have an annual eye test and a DNA test for PDP1.</w:t>
      </w:r>
    </w:p>
    <w:p w:rsidR="00433013" w:rsidRDefault="00433013" w:rsidP="00B71DD7">
      <w:pPr>
        <w:jc w:val="both"/>
      </w:pPr>
    </w:p>
    <w:p w:rsidR="00EB740D" w:rsidRPr="00D405FB" w:rsidRDefault="00EB740D" w:rsidP="00B71DD7">
      <w:pPr>
        <w:jc w:val="both"/>
      </w:pPr>
      <w:r w:rsidRPr="00D405FB">
        <w:t xml:space="preserve">Information </w:t>
      </w:r>
      <w:r w:rsidR="0013308F">
        <w:t xml:space="preserve">used in this section </w:t>
      </w:r>
      <w:r w:rsidRPr="00D405FB">
        <w:t>was taken from the KC Mate Select web pages and also from the C</w:t>
      </w:r>
      <w:r w:rsidR="009A7542">
        <w:t xml:space="preserve">lumber </w:t>
      </w:r>
      <w:r w:rsidRPr="00D405FB">
        <w:t>S</w:t>
      </w:r>
      <w:r w:rsidR="009A7542">
        <w:t xml:space="preserve">paniel </w:t>
      </w:r>
      <w:r w:rsidRPr="00D405FB">
        <w:t>C</w:t>
      </w:r>
      <w:r w:rsidR="009A7542">
        <w:t>lub’s</w:t>
      </w:r>
      <w:r w:rsidRPr="00D405FB">
        <w:t xml:space="preserve"> publish</w:t>
      </w:r>
      <w:r w:rsidR="004565E8">
        <w:t xml:space="preserve">ed lists to determine which dogs that </w:t>
      </w:r>
      <w:r w:rsidR="000C0D17">
        <w:t xml:space="preserve">had </w:t>
      </w:r>
      <w:r w:rsidR="00EA7B97">
        <w:t>litters with puppies born in</w:t>
      </w:r>
      <w:r w:rsidR="004565E8">
        <w:t xml:space="preserve"> 2015</w:t>
      </w:r>
      <w:r w:rsidR="00EA7B97">
        <w:t>, also</w:t>
      </w:r>
      <w:r w:rsidR="004565E8">
        <w:t xml:space="preserve"> </w:t>
      </w:r>
      <w:r w:rsidR="009342AB" w:rsidRPr="00D405FB">
        <w:t xml:space="preserve">had </w:t>
      </w:r>
      <w:r w:rsidR="000C0D17">
        <w:t xml:space="preserve">published results for </w:t>
      </w:r>
      <w:r w:rsidR="009342AB" w:rsidRPr="00D405FB">
        <w:t>health tests.</w:t>
      </w:r>
      <w:r w:rsidR="004565E8">
        <w:t xml:space="preserve"> It should be noted that some imported dogs may have had health tests in another country which </w:t>
      </w:r>
      <w:r w:rsidR="00433013">
        <w:t xml:space="preserve">do </w:t>
      </w:r>
      <w:r w:rsidR="004565E8">
        <w:t xml:space="preserve">not appear on either list. </w:t>
      </w:r>
    </w:p>
    <w:p w:rsidR="009342AB" w:rsidRPr="00D405FB" w:rsidRDefault="009342AB" w:rsidP="00B71DD7">
      <w:pPr>
        <w:jc w:val="both"/>
      </w:pPr>
    </w:p>
    <w:p w:rsidR="00134441" w:rsidRDefault="00134441" w:rsidP="00B71DD7">
      <w:pPr>
        <w:jc w:val="both"/>
        <w:rPr>
          <w:b/>
          <w:sz w:val="28"/>
          <w:szCs w:val="28"/>
        </w:rPr>
      </w:pPr>
    </w:p>
    <w:p w:rsidR="00EB740D" w:rsidRPr="00644C60" w:rsidRDefault="00644C60" w:rsidP="00B71DD7">
      <w:pPr>
        <w:jc w:val="both"/>
        <w:rPr>
          <w:b/>
          <w:sz w:val="28"/>
          <w:szCs w:val="28"/>
        </w:rPr>
      </w:pPr>
      <w:r w:rsidRPr="00644C60">
        <w:rPr>
          <w:b/>
          <w:sz w:val="28"/>
          <w:szCs w:val="28"/>
        </w:rPr>
        <w:t>2.1   Hip Scores</w:t>
      </w:r>
    </w:p>
    <w:p w:rsidR="000C0D17" w:rsidRDefault="000C0D17" w:rsidP="00B71DD7">
      <w:pPr>
        <w:jc w:val="both"/>
      </w:pPr>
      <w:r>
        <w:t xml:space="preserve">The current Breed Health Plan recommends that current British Veterinary Association advice should be followed which </w:t>
      </w:r>
      <w:r w:rsidR="00D17A22">
        <w:t xml:space="preserve">in turn states that “the best chance of producing offspring with good hips is to use only parents with low scores, considering the </w:t>
      </w:r>
      <w:r w:rsidR="00D17A22" w:rsidRPr="00D17A22">
        <w:rPr>
          <w:i/>
        </w:rPr>
        <w:t>median</w:t>
      </w:r>
      <w:r w:rsidR="00D17A22">
        <w:t xml:space="preserve"> as the ideal cut-off”.</w:t>
      </w:r>
      <w:r w:rsidR="00D17A22" w:rsidRPr="00D17A22">
        <w:t xml:space="preserve"> </w:t>
      </w:r>
      <w:r w:rsidR="00D17A22" w:rsidRPr="000C0D17">
        <w:t>The current published median hip score for Clumber Spaniels is 11.</w:t>
      </w:r>
    </w:p>
    <w:p w:rsidR="00644C60" w:rsidRPr="00D17A22" w:rsidRDefault="00644C60" w:rsidP="00B71DD7">
      <w:pPr>
        <w:jc w:val="both"/>
      </w:pPr>
    </w:p>
    <w:p w:rsidR="00AF7E2F" w:rsidRPr="00D405FB" w:rsidRDefault="00EB740D" w:rsidP="00B71DD7">
      <w:pPr>
        <w:jc w:val="both"/>
      </w:pPr>
      <w:r w:rsidRPr="00D405FB">
        <w:rPr>
          <w:b/>
        </w:rPr>
        <w:t>Sires</w:t>
      </w:r>
      <w:r w:rsidRPr="00D405FB">
        <w:t xml:space="preserve">: </w:t>
      </w:r>
      <w:r w:rsidR="00C3068F">
        <w:t>of the 29</w:t>
      </w:r>
      <w:r w:rsidR="00C71633" w:rsidRPr="00D405FB">
        <w:t xml:space="preserve"> dogs that produced puppies in 2015, four did not have a hip score result published. </w:t>
      </w:r>
      <w:r w:rsidR="00AF7E2F" w:rsidRPr="00D405FB">
        <w:t>Three had a hip score of more than 30</w:t>
      </w:r>
      <w:r w:rsidR="00D17A22">
        <w:t>,</w:t>
      </w:r>
      <w:r w:rsidR="00AF7E2F" w:rsidRPr="00D405FB">
        <w:t xml:space="preserve"> and one </w:t>
      </w:r>
      <w:r w:rsidR="00C3068F">
        <w:t>with</w:t>
      </w:r>
      <w:r w:rsidR="00AF7E2F" w:rsidRPr="00D405FB">
        <w:t xml:space="preserve"> a score of 46 had h</w:t>
      </w:r>
      <w:r w:rsidR="00C3068F">
        <w:t>ad two litters. The</w:t>
      </w:r>
      <w:r w:rsidR="00D17A22">
        <w:t>re</w:t>
      </w:r>
      <w:r w:rsidR="00C3068F">
        <w:t xml:space="preserve"> </w:t>
      </w:r>
      <w:r w:rsidR="00D17A22">
        <w:t>were 19 sires (65%) used with</w:t>
      </w:r>
      <w:r w:rsidR="00AF7E2F" w:rsidRPr="00D405FB">
        <w:t xml:space="preserve"> a score of 1</w:t>
      </w:r>
      <w:r w:rsidR="00D17A22">
        <w:t>1</w:t>
      </w:r>
      <w:r w:rsidR="00AF7E2F" w:rsidRPr="00D405FB">
        <w:t xml:space="preserve"> or less</w:t>
      </w:r>
    </w:p>
    <w:p w:rsidR="00EB740D" w:rsidRDefault="00EB740D" w:rsidP="00B71DD7">
      <w:pPr>
        <w:jc w:val="both"/>
      </w:pPr>
      <w:r w:rsidRPr="00D405FB">
        <w:rPr>
          <w:b/>
        </w:rPr>
        <w:t>Dams</w:t>
      </w:r>
      <w:r w:rsidR="00C3068F">
        <w:t>: 31 of the 35</w:t>
      </w:r>
      <w:r w:rsidRPr="00D405FB">
        <w:t xml:space="preserve"> dams who had a litter had been hip scored. Of these one </w:t>
      </w:r>
      <w:r w:rsidR="00AF7E2F" w:rsidRPr="00D405FB">
        <w:t>had a score</w:t>
      </w:r>
      <w:r w:rsidRPr="00D405FB">
        <w:t xml:space="preserve"> above 30 while </w:t>
      </w:r>
      <w:r w:rsidR="00D17A22">
        <w:t>16 (46%) of the others had a score below 11.</w:t>
      </w:r>
    </w:p>
    <w:p w:rsidR="005B29A5" w:rsidRDefault="005B29A5" w:rsidP="00B71DD7">
      <w:pPr>
        <w:jc w:val="both"/>
      </w:pPr>
    </w:p>
    <w:tbl>
      <w:tblPr>
        <w:tblStyle w:val="TableGrid"/>
        <w:tblW w:w="0" w:type="auto"/>
        <w:jc w:val="center"/>
        <w:tblLook w:val="04A0"/>
      </w:tblPr>
      <w:tblGrid>
        <w:gridCol w:w="3320"/>
        <w:gridCol w:w="1466"/>
        <w:gridCol w:w="1375"/>
      </w:tblGrid>
      <w:tr w:rsidR="005B29A5" w:rsidTr="005B29A5">
        <w:trPr>
          <w:jc w:val="center"/>
        </w:trPr>
        <w:tc>
          <w:tcPr>
            <w:tcW w:w="3320" w:type="dxa"/>
          </w:tcPr>
          <w:p w:rsidR="005B29A5" w:rsidRDefault="005B29A5" w:rsidP="00B71DD7">
            <w:pPr>
              <w:jc w:val="both"/>
            </w:pPr>
          </w:p>
        </w:tc>
        <w:tc>
          <w:tcPr>
            <w:tcW w:w="1466" w:type="dxa"/>
          </w:tcPr>
          <w:p w:rsidR="005B29A5" w:rsidRDefault="005B29A5" w:rsidP="005B29A5">
            <w:pPr>
              <w:jc w:val="center"/>
            </w:pPr>
            <w:r>
              <w:t>Sires</w:t>
            </w:r>
          </w:p>
        </w:tc>
        <w:tc>
          <w:tcPr>
            <w:tcW w:w="1375" w:type="dxa"/>
          </w:tcPr>
          <w:p w:rsidR="005B29A5" w:rsidRDefault="005B29A5" w:rsidP="005B29A5">
            <w:pPr>
              <w:jc w:val="center"/>
            </w:pPr>
            <w:r>
              <w:t>Dams</w:t>
            </w:r>
          </w:p>
        </w:tc>
      </w:tr>
      <w:tr w:rsidR="005B29A5" w:rsidTr="005B29A5">
        <w:trPr>
          <w:jc w:val="center"/>
        </w:trPr>
        <w:tc>
          <w:tcPr>
            <w:tcW w:w="3320" w:type="dxa"/>
          </w:tcPr>
          <w:p w:rsidR="005B29A5" w:rsidRDefault="005B29A5" w:rsidP="00B71DD7">
            <w:pPr>
              <w:jc w:val="both"/>
            </w:pPr>
            <w:r>
              <w:t>Hip score of 11 or less</w:t>
            </w:r>
          </w:p>
        </w:tc>
        <w:tc>
          <w:tcPr>
            <w:tcW w:w="1466" w:type="dxa"/>
          </w:tcPr>
          <w:p w:rsidR="005B29A5" w:rsidRDefault="005B29A5" w:rsidP="005B29A5">
            <w:pPr>
              <w:jc w:val="center"/>
            </w:pPr>
            <w:r>
              <w:t>19 (65%)</w:t>
            </w:r>
          </w:p>
        </w:tc>
        <w:tc>
          <w:tcPr>
            <w:tcW w:w="1375" w:type="dxa"/>
          </w:tcPr>
          <w:p w:rsidR="005B29A5" w:rsidRDefault="005B29A5" w:rsidP="005B29A5">
            <w:pPr>
              <w:jc w:val="center"/>
            </w:pPr>
            <w:r>
              <w:t>16 (46%)</w:t>
            </w:r>
          </w:p>
        </w:tc>
      </w:tr>
      <w:tr w:rsidR="005B29A5" w:rsidTr="005B29A5">
        <w:trPr>
          <w:jc w:val="center"/>
        </w:trPr>
        <w:tc>
          <w:tcPr>
            <w:tcW w:w="3320" w:type="dxa"/>
          </w:tcPr>
          <w:p w:rsidR="005B29A5" w:rsidRDefault="005B29A5" w:rsidP="00B71DD7">
            <w:pPr>
              <w:jc w:val="both"/>
            </w:pPr>
            <w:r>
              <w:t>Hip score above 11</w:t>
            </w:r>
          </w:p>
        </w:tc>
        <w:tc>
          <w:tcPr>
            <w:tcW w:w="1466" w:type="dxa"/>
          </w:tcPr>
          <w:p w:rsidR="005B29A5" w:rsidRDefault="005B29A5" w:rsidP="005B29A5">
            <w:pPr>
              <w:jc w:val="center"/>
            </w:pPr>
            <w:r>
              <w:t>6 (21%)</w:t>
            </w:r>
          </w:p>
        </w:tc>
        <w:tc>
          <w:tcPr>
            <w:tcW w:w="1375" w:type="dxa"/>
          </w:tcPr>
          <w:p w:rsidR="005B29A5" w:rsidRDefault="005B29A5" w:rsidP="005B29A5">
            <w:pPr>
              <w:jc w:val="center"/>
            </w:pPr>
            <w:r>
              <w:t>15 (43%)</w:t>
            </w:r>
          </w:p>
        </w:tc>
      </w:tr>
      <w:tr w:rsidR="005B29A5" w:rsidTr="005B29A5">
        <w:trPr>
          <w:jc w:val="center"/>
        </w:trPr>
        <w:tc>
          <w:tcPr>
            <w:tcW w:w="3320" w:type="dxa"/>
          </w:tcPr>
          <w:p w:rsidR="005B29A5" w:rsidRDefault="005B29A5" w:rsidP="00B71DD7">
            <w:pPr>
              <w:jc w:val="both"/>
            </w:pPr>
            <w:r>
              <w:t>No published hip score</w:t>
            </w:r>
          </w:p>
        </w:tc>
        <w:tc>
          <w:tcPr>
            <w:tcW w:w="1466" w:type="dxa"/>
          </w:tcPr>
          <w:p w:rsidR="005B29A5" w:rsidRDefault="005B29A5" w:rsidP="005B29A5">
            <w:pPr>
              <w:jc w:val="center"/>
            </w:pPr>
            <w:r>
              <w:t>4 (14%)</w:t>
            </w:r>
          </w:p>
        </w:tc>
        <w:tc>
          <w:tcPr>
            <w:tcW w:w="1375" w:type="dxa"/>
          </w:tcPr>
          <w:p w:rsidR="005B29A5" w:rsidRDefault="005B29A5" w:rsidP="005B29A5">
            <w:pPr>
              <w:jc w:val="center"/>
            </w:pPr>
            <w:r>
              <w:t>4 (11%)</w:t>
            </w:r>
          </w:p>
        </w:tc>
      </w:tr>
    </w:tbl>
    <w:p w:rsidR="005B29A5" w:rsidRPr="00D405FB" w:rsidRDefault="005B29A5" w:rsidP="00B71DD7">
      <w:pPr>
        <w:jc w:val="both"/>
      </w:pPr>
    </w:p>
    <w:p w:rsidR="009342AB" w:rsidRPr="00D405FB" w:rsidRDefault="009342AB" w:rsidP="00B71DD7">
      <w:pPr>
        <w:jc w:val="both"/>
      </w:pPr>
    </w:p>
    <w:p w:rsidR="00134441" w:rsidRDefault="00134441" w:rsidP="004565E8">
      <w:pPr>
        <w:jc w:val="both"/>
        <w:rPr>
          <w:b/>
          <w:sz w:val="28"/>
          <w:szCs w:val="28"/>
        </w:rPr>
      </w:pPr>
    </w:p>
    <w:p w:rsidR="004565E8" w:rsidRPr="00644C60" w:rsidRDefault="00644C60" w:rsidP="004565E8">
      <w:pPr>
        <w:jc w:val="both"/>
        <w:rPr>
          <w:b/>
          <w:sz w:val="28"/>
          <w:szCs w:val="28"/>
        </w:rPr>
      </w:pPr>
      <w:r w:rsidRPr="00644C60">
        <w:rPr>
          <w:b/>
          <w:sz w:val="28"/>
          <w:szCs w:val="28"/>
        </w:rPr>
        <w:t>2.2   Eye Tests</w:t>
      </w:r>
    </w:p>
    <w:p w:rsidR="004565E8" w:rsidRDefault="00D17A22" w:rsidP="004565E8">
      <w:pPr>
        <w:jc w:val="both"/>
      </w:pPr>
      <w:r w:rsidRPr="00D17A22">
        <w:t xml:space="preserve">The </w:t>
      </w:r>
      <w:r>
        <w:t xml:space="preserve">Breed Health Plan states that “All Clumber Spaniels bring bred should hold a current eye certificate”. </w:t>
      </w:r>
      <w:r w:rsidR="00C3068F">
        <w:t>Of the 29 sires used in 2015, only seven</w:t>
      </w:r>
      <w:r w:rsidR="004565E8" w:rsidRPr="00D405FB">
        <w:t xml:space="preserve"> </w:t>
      </w:r>
      <w:r w:rsidR="003E139C">
        <w:t xml:space="preserve">(24%) </w:t>
      </w:r>
      <w:r w:rsidR="004565E8" w:rsidRPr="00D405FB">
        <w:t>had a reco</w:t>
      </w:r>
      <w:r w:rsidR="00C3068F">
        <w:t>rded result for an eye test</w:t>
      </w:r>
      <w:r w:rsidR="003E139C">
        <w:t>; and similarly s</w:t>
      </w:r>
      <w:r w:rsidR="00C3068F">
        <w:t xml:space="preserve">even </w:t>
      </w:r>
      <w:r w:rsidR="003E139C">
        <w:t xml:space="preserve">(20%) </w:t>
      </w:r>
      <w:r w:rsidR="00C3068F">
        <w:t>out of 35</w:t>
      </w:r>
      <w:r w:rsidR="004565E8" w:rsidRPr="00D405FB">
        <w:t xml:space="preserve"> dams had a recorded eye test result.</w:t>
      </w:r>
    </w:p>
    <w:p w:rsidR="004565E8" w:rsidRDefault="004565E8" w:rsidP="004565E8">
      <w:pPr>
        <w:jc w:val="both"/>
      </w:pPr>
    </w:p>
    <w:tbl>
      <w:tblPr>
        <w:tblStyle w:val="TableGrid"/>
        <w:tblW w:w="0" w:type="auto"/>
        <w:jc w:val="center"/>
        <w:tblLook w:val="04A0"/>
      </w:tblPr>
      <w:tblGrid>
        <w:gridCol w:w="3320"/>
        <w:gridCol w:w="1466"/>
        <w:gridCol w:w="1375"/>
      </w:tblGrid>
      <w:tr w:rsidR="005B29A5" w:rsidTr="00DF0054">
        <w:trPr>
          <w:jc w:val="center"/>
        </w:trPr>
        <w:tc>
          <w:tcPr>
            <w:tcW w:w="3320" w:type="dxa"/>
          </w:tcPr>
          <w:p w:rsidR="005B29A5" w:rsidRDefault="005B29A5" w:rsidP="00DF0054">
            <w:pPr>
              <w:jc w:val="both"/>
            </w:pPr>
          </w:p>
        </w:tc>
        <w:tc>
          <w:tcPr>
            <w:tcW w:w="1466" w:type="dxa"/>
          </w:tcPr>
          <w:p w:rsidR="005B29A5" w:rsidRDefault="005B29A5" w:rsidP="00DF0054">
            <w:pPr>
              <w:jc w:val="center"/>
            </w:pPr>
            <w:r>
              <w:t>Sires</w:t>
            </w:r>
          </w:p>
        </w:tc>
        <w:tc>
          <w:tcPr>
            <w:tcW w:w="1375" w:type="dxa"/>
          </w:tcPr>
          <w:p w:rsidR="005B29A5" w:rsidRDefault="005B29A5" w:rsidP="00DF0054">
            <w:pPr>
              <w:jc w:val="center"/>
            </w:pPr>
            <w:r>
              <w:t>Dams</w:t>
            </w:r>
          </w:p>
        </w:tc>
      </w:tr>
      <w:tr w:rsidR="005B29A5" w:rsidTr="00DF0054">
        <w:trPr>
          <w:jc w:val="center"/>
        </w:trPr>
        <w:tc>
          <w:tcPr>
            <w:tcW w:w="3320" w:type="dxa"/>
          </w:tcPr>
          <w:p w:rsidR="005B29A5" w:rsidRDefault="005B29A5" w:rsidP="00DF0054">
            <w:pPr>
              <w:jc w:val="both"/>
            </w:pPr>
            <w:r>
              <w:t>Recorded eye test</w:t>
            </w:r>
          </w:p>
        </w:tc>
        <w:tc>
          <w:tcPr>
            <w:tcW w:w="1466" w:type="dxa"/>
          </w:tcPr>
          <w:p w:rsidR="005B29A5" w:rsidRDefault="005B29A5" w:rsidP="00DF0054">
            <w:pPr>
              <w:jc w:val="center"/>
            </w:pPr>
            <w:r>
              <w:t>7 (24%)</w:t>
            </w:r>
          </w:p>
        </w:tc>
        <w:tc>
          <w:tcPr>
            <w:tcW w:w="1375" w:type="dxa"/>
          </w:tcPr>
          <w:p w:rsidR="005B29A5" w:rsidRDefault="005B29A5" w:rsidP="00DF0054">
            <w:pPr>
              <w:jc w:val="center"/>
            </w:pPr>
            <w:r>
              <w:t>7 (20%)</w:t>
            </w:r>
          </w:p>
        </w:tc>
      </w:tr>
      <w:tr w:rsidR="005B29A5" w:rsidTr="00DF0054">
        <w:trPr>
          <w:jc w:val="center"/>
        </w:trPr>
        <w:tc>
          <w:tcPr>
            <w:tcW w:w="3320" w:type="dxa"/>
          </w:tcPr>
          <w:p w:rsidR="005B29A5" w:rsidRDefault="005B29A5" w:rsidP="00DF0054">
            <w:pPr>
              <w:jc w:val="both"/>
            </w:pPr>
            <w:r>
              <w:t>No recorded eye test</w:t>
            </w:r>
          </w:p>
        </w:tc>
        <w:tc>
          <w:tcPr>
            <w:tcW w:w="1466" w:type="dxa"/>
          </w:tcPr>
          <w:p w:rsidR="005B29A5" w:rsidRDefault="005B29A5" w:rsidP="00DF0054">
            <w:pPr>
              <w:jc w:val="center"/>
            </w:pPr>
            <w:r>
              <w:t>22 (76%)</w:t>
            </w:r>
          </w:p>
        </w:tc>
        <w:tc>
          <w:tcPr>
            <w:tcW w:w="1375" w:type="dxa"/>
          </w:tcPr>
          <w:p w:rsidR="005B29A5" w:rsidRDefault="005B29A5" w:rsidP="00DF0054">
            <w:pPr>
              <w:jc w:val="center"/>
            </w:pPr>
            <w:r>
              <w:t>28 (80%)</w:t>
            </w:r>
          </w:p>
        </w:tc>
      </w:tr>
    </w:tbl>
    <w:p w:rsidR="005B29A5" w:rsidRPr="00D405FB" w:rsidRDefault="005B29A5" w:rsidP="004565E8">
      <w:pPr>
        <w:jc w:val="both"/>
      </w:pPr>
    </w:p>
    <w:p w:rsidR="00134441" w:rsidRDefault="00134441" w:rsidP="00B71DD7">
      <w:pPr>
        <w:jc w:val="both"/>
        <w:rPr>
          <w:b/>
          <w:sz w:val="28"/>
          <w:szCs w:val="28"/>
        </w:rPr>
      </w:pPr>
    </w:p>
    <w:p w:rsidR="009342AB" w:rsidRPr="00644C60" w:rsidRDefault="005B29A5" w:rsidP="00B71DD7">
      <w:pPr>
        <w:jc w:val="both"/>
        <w:rPr>
          <w:b/>
          <w:sz w:val="28"/>
          <w:szCs w:val="28"/>
        </w:rPr>
      </w:pPr>
      <w:r>
        <w:rPr>
          <w:b/>
          <w:sz w:val="28"/>
          <w:szCs w:val="28"/>
        </w:rPr>
        <w:br w:type="column"/>
      </w:r>
      <w:r w:rsidR="00644C60" w:rsidRPr="00644C60">
        <w:rPr>
          <w:b/>
          <w:sz w:val="28"/>
          <w:szCs w:val="28"/>
        </w:rPr>
        <w:lastRenderedPageBreak/>
        <w:t xml:space="preserve">1.3   </w:t>
      </w:r>
      <w:proofErr w:type="spellStart"/>
      <w:r w:rsidR="00644C60" w:rsidRPr="00644C60">
        <w:rPr>
          <w:b/>
          <w:sz w:val="28"/>
          <w:szCs w:val="28"/>
        </w:rPr>
        <w:t>Pyruvate</w:t>
      </w:r>
      <w:proofErr w:type="spellEnd"/>
      <w:r w:rsidR="00644C60" w:rsidRPr="00644C60">
        <w:rPr>
          <w:b/>
          <w:sz w:val="28"/>
          <w:szCs w:val="28"/>
        </w:rPr>
        <w:t xml:space="preserve"> </w:t>
      </w:r>
      <w:proofErr w:type="spellStart"/>
      <w:r w:rsidR="00644C60" w:rsidRPr="00644C60">
        <w:rPr>
          <w:b/>
          <w:sz w:val="28"/>
          <w:szCs w:val="28"/>
        </w:rPr>
        <w:t>Dehydrogenase</w:t>
      </w:r>
      <w:proofErr w:type="spellEnd"/>
      <w:r w:rsidR="00644C60" w:rsidRPr="00644C60">
        <w:rPr>
          <w:b/>
          <w:sz w:val="28"/>
          <w:szCs w:val="28"/>
        </w:rPr>
        <w:t xml:space="preserve"> </w:t>
      </w:r>
      <w:proofErr w:type="spellStart"/>
      <w:r w:rsidR="00644C60" w:rsidRPr="00644C60">
        <w:rPr>
          <w:b/>
          <w:sz w:val="28"/>
          <w:szCs w:val="28"/>
        </w:rPr>
        <w:t>Phosphatase</w:t>
      </w:r>
      <w:proofErr w:type="spellEnd"/>
      <w:r w:rsidR="00644C60" w:rsidRPr="00644C60">
        <w:rPr>
          <w:b/>
          <w:sz w:val="28"/>
          <w:szCs w:val="28"/>
        </w:rPr>
        <w:t xml:space="preserve"> </w:t>
      </w:r>
      <w:proofErr w:type="spellStart"/>
      <w:r w:rsidR="00644C60" w:rsidRPr="00644C60">
        <w:rPr>
          <w:b/>
          <w:sz w:val="28"/>
          <w:szCs w:val="28"/>
        </w:rPr>
        <w:t>Defficiency</w:t>
      </w:r>
      <w:proofErr w:type="spellEnd"/>
      <w:r w:rsidR="00644C60" w:rsidRPr="00644C60">
        <w:rPr>
          <w:b/>
          <w:sz w:val="28"/>
          <w:szCs w:val="28"/>
        </w:rPr>
        <w:t xml:space="preserve"> </w:t>
      </w:r>
      <w:r w:rsidR="00AF7E2F" w:rsidRPr="00644C60">
        <w:rPr>
          <w:b/>
          <w:sz w:val="28"/>
          <w:szCs w:val="28"/>
        </w:rPr>
        <w:t>(PDP</w:t>
      </w:r>
      <w:r w:rsidR="009342AB" w:rsidRPr="00644C60">
        <w:rPr>
          <w:b/>
          <w:sz w:val="28"/>
          <w:szCs w:val="28"/>
        </w:rPr>
        <w:t>1</w:t>
      </w:r>
      <w:r w:rsidR="00AF7E2F" w:rsidRPr="00644C60">
        <w:rPr>
          <w:b/>
          <w:sz w:val="28"/>
          <w:szCs w:val="28"/>
        </w:rPr>
        <w:t>)</w:t>
      </w:r>
    </w:p>
    <w:p w:rsidR="00134441" w:rsidRDefault="00DA391E" w:rsidP="00C71633">
      <w:pPr>
        <w:jc w:val="both"/>
      </w:pPr>
      <w:r>
        <w:t xml:space="preserve">PDP1 is a genetic enzyme deficiency which causes exhaustion after limited exercise which was identified in Clumbers in the late 1970s. A DNA test became available in 2007 and to date no dogs in the UK have been identified as affected by this problem. However </w:t>
      </w:r>
      <w:r w:rsidR="00134441">
        <w:t xml:space="preserve">the Breed Health Plan </w:t>
      </w:r>
      <w:r>
        <w:t>continues to recommend</w:t>
      </w:r>
      <w:r w:rsidR="00134441">
        <w:t xml:space="preserve"> that all breeding stock should be </w:t>
      </w:r>
      <w:r w:rsidR="000D314F">
        <w:t xml:space="preserve">DNA </w:t>
      </w:r>
      <w:r w:rsidR="00134441">
        <w:t xml:space="preserve">tested for PDP1. </w:t>
      </w:r>
    </w:p>
    <w:p w:rsidR="000D314F" w:rsidRDefault="000D314F" w:rsidP="00C71633">
      <w:pPr>
        <w:jc w:val="both"/>
      </w:pPr>
    </w:p>
    <w:p w:rsidR="00C71633" w:rsidRPr="00D405FB" w:rsidRDefault="00C71633" w:rsidP="00C71633">
      <w:pPr>
        <w:jc w:val="both"/>
      </w:pPr>
      <w:r w:rsidRPr="00D405FB">
        <w:t>The table below shows the number of dogs who had a recorded test result</w:t>
      </w:r>
      <w:r w:rsidR="003E139C">
        <w:t xml:space="preserve">. There </w:t>
      </w:r>
      <w:proofErr w:type="gramStart"/>
      <w:r w:rsidR="003E139C">
        <w:t>was</w:t>
      </w:r>
      <w:proofErr w:type="gramEnd"/>
      <w:r w:rsidR="003E139C">
        <w:t xml:space="preserve"> a higher percentage of sires (24%) than dams (8%) without a published result.</w:t>
      </w:r>
    </w:p>
    <w:p w:rsidR="00C71633" w:rsidRPr="00D405FB" w:rsidRDefault="00C71633" w:rsidP="00B71DD7">
      <w:pPr>
        <w:jc w:val="both"/>
      </w:pPr>
    </w:p>
    <w:tbl>
      <w:tblPr>
        <w:tblW w:w="4813"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0"/>
        <w:gridCol w:w="1339"/>
        <w:gridCol w:w="1264"/>
      </w:tblGrid>
      <w:tr w:rsidR="009342AB" w:rsidRPr="00D405FB" w:rsidTr="0036480A">
        <w:trPr>
          <w:trHeight w:val="300"/>
          <w:jc w:val="center"/>
        </w:trPr>
        <w:tc>
          <w:tcPr>
            <w:tcW w:w="2210" w:type="dxa"/>
            <w:shd w:val="clear" w:color="auto" w:fill="auto"/>
            <w:noWrap/>
            <w:hideMark/>
          </w:tcPr>
          <w:p w:rsidR="009342AB" w:rsidRPr="00D405FB" w:rsidRDefault="009342AB" w:rsidP="009342AB">
            <w:pPr>
              <w:jc w:val="center"/>
              <w:rPr>
                <w:rFonts w:ascii="Calibri" w:eastAsia="Times New Roman" w:hAnsi="Calibri" w:cs="Calibri"/>
                <w:lang w:eastAsia="en-GB"/>
              </w:rPr>
            </w:pPr>
          </w:p>
        </w:tc>
        <w:tc>
          <w:tcPr>
            <w:tcW w:w="1339" w:type="dxa"/>
            <w:shd w:val="clear" w:color="auto" w:fill="auto"/>
            <w:noWrap/>
            <w:hideMark/>
          </w:tcPr>
          <w:p w:rsidR="009342AB" w:rsidRPr="00D405FB" w:rsidRDefault="005B29A5" w:rsidP="009342AB">
            <w:pPr>
              <w:jc w:val="center"/>
              <w:rPr>
                <w:rFonts w:ascii="Calibri" w:eastAsia="Times New Roman" w:hAnsi="Calibri" w:cs="Calibri"/>
                <w:lang w:eastAsia="en-GB"/>
              </w:rPr>
            </w:pPr>
            <w:r>
              <w:rPr>
                <w:rFonts w:ascii="Calibri" w:eastAsia="Times New Roman" w:hAnsi="Calibri" w:cs="Calibri"/>
                <w:lang w:eastAsia="en-GB"/>
              </w:rPr>
              <w:t>S</w:t>
            </w:r>
            <w:r w:rsidR="009342AB" w:rsidRPr="00D405FB">
              <w:rPr>
                <w:rFonts w:ascii="Calibri" w:eastAsia="Times New Roman" w:hAnsi="Calibri" w:cs="Calibri"/>
                <w:lang w:eastAsia="en-GB"/>
              </w:rPr>
              <w:t>ires</w:t>
            </w:r>
          </w:p>
        </w:tc>
        <w:tc>
          <w:tcPr>
            <w:tcW w:w="1264" w:type="dxa"/>
            <w:shd w:val="clear" w:color="auto" w:fill="auto"/>
            <w:noWrap/>
            <w:hideMark/>
          </w:tcPr>
          <w:p w:rsidR="009342AB" w:rsidRPr="00D405FB" w:rsidRDefault="005B29A5" w:rsidP="009342AB">
            <w:pPr>
              <w:jc w:val="center"/>
              <w:rPr>
                <w:rFonts w:ascii="Calibri" w:eastAsia="Times New Roman" w:hAnsi="Calibri" w:cs="Calibri"/>
                <w:lang w:eastAsia="en-GB"/>
              </w:rPr>
            </w:pPr>
            <w:r>
              <w:rPr>
                <w:rFonts w:ascii="Calibri" w:eastAsia="Times New Roman" w:hAnsi="Calibri" w:cs="Calibri"/>
                <w:lang w:eastAsia="en-GB"/>
              </w:rPr>
              <w:t>D</w:t>
            </w:r>
            <w:r w:rsidR="009342AB" w:rsidRPr="00D405FB">
              <w:rPr>
                <w:rFonts w:ascii="Calibri" w:eastAsia="Times New Roman" w:hAnsi="Calibri" w:cs="Calibri"/>
                <w:lang w:eastAsia="en-GB"/>
              </w:rPr>
              <w:t>ams</w:t>
            </w:r>
          </w:p>
        </w:tc>
      </w:tr>
      <w:tr w:rsidR="009342AB" w:rsidRPr="00D405FB" w:rsidTr="0036480A">
        <w:trPr>
          <w:trHeight w:val="300"/>
          <w:jc w:val="center"/>
        </w:trPr>
        <w:tc>
          <w:tcPr>
            <w:tcW w:w="2210" w:type="dxa"/>
            <w:shd w:val="clear" w:color="auto" w:fill="auto"/>
            <w:noWrap/>
            <w:vAlign w:val="bottom"/>
            <w:hideMark/>
          </w:tcPr>
          <w:p w:rsidR="009342AB" w:rsidRPr="00D405FB" w:rsidRDefault="009342AB" w:rsidP="009342AB">
            <w:pPr>
              <w:rPr>
                <w:rFonts w:ascii="Calibri" w:eastAsia="Times New Roman" w:hAnsi="Calibri" w:cs="Calibri"/>
                <w:lang w:eastAsia="en-GB"/>
              </w:rPr>
            </w:pPr>
            <w:r w:rsidRPr="00D405FB">
              <w:rPr>
                <w:rFonts w:ascii="Calibri" w:eastAsia="Times New Roman" w:hAnsi="Calibri" w:cs="Calibri"/>
                <w:lang w:eastAsia="en-GB"/>
              </w:rPr>
              <w:t>Clear</w:t>
            </w:r>
          </w:p>
        </w:tc>
        <w:tc>
          <w:tcPr>
            <w:tcW w:w="1339" w:type="dxa"/>
            <w:shd w:val="clear" w:color="auto" w:fill="auto"/>
            <w:noWrap/>
            <w:vAlign w:val="bottom"/>
            <w:hideMark/>
          </w:tcPr>
          <w:p w:rsidR="009342AB" w:rsidRPr="00D405FB" w:rsidRDefault="00C3068F" w:rsidP="009342AB">
            <w:pPr>
              <w:jc w:val="center"/>
              <w:rPr>
                <w:rFonts w:ascii="Calibri" w:eastAsia="Times New Roman" w:hAnsi="Calibri" w:cs="Calibri"/>
                <w:lang w:eastAsia="en-GB"/>
              </w:rPr>
            </w:pPr>
            <w:r>
              <w:rPr>
                <w:rFonts w:ascii="Calibri" w:eastAsia="Times New Roman" w:hAnsi="Calibri" w:cs="Calibri"/>
                <w:lang w:eastAsia="en-GB"/>
              </w:rPr>
              <w:t>8</w:t>
            </w:r>
            <w:r w:rsidR="005B29A5">
              <w:rPr>
                <w:rFonts w:ascii="Calibri" w:eastAsia="Times New Roman" w:hAnsi="Calibri" w:cs="Calibri"/>
                <w:lang w:eastAsia="en-GB"/>
              </w:rPr>
              <w:t xml:space="preserve"> (28%)</w:t>
            </w:r>
          </w:p>
        </w:tc>
        <w:tc>
          <w:tcPr>
            <w:tcW w:w="1264" w:type="dxa"/>
            <w:shd w:val="clear" w:color="auto" w:fill="auto"/>
            <w:noWrap/>
            <w:vAlign w:val="bottom"/>
            <w:hideMark/>
          </w:tcPr>
          <w:p w:rsidR="009342AB" w:rsidRPr="00D405FB" w:rsidRDefault="00C3068F" w:rsidP="009342AB">
            <w:pPr>
              <w:jc w:val="center"/>
              <w:rPr>
                <w:rFonts w:ascii="Calibri" w:eastAsia="Times New Roman" w:hAnsi="Calibri" w:cs="Calibri"/>
                <w:lang w:eastAsia="en-GB"/>
              </w:rPr>
            </w:pPr>
            <w:r>
              <w:rPr>
                <w:rFonts w:ascii="Calibri" w:eastAsia="Times New Roman" w:hAnsi="Calibri" w:cs="Calibri"/>
                <w:lang w:eastAsia="en-GB"/>
              </w:rPr>
              <w:t>7</w:t>
            </w:r>
            <w:r w:rsidR="0036480A">
              <w:rPr>
                <w:rFonts w:ascii="Calibri" w:eastAsia="Times New Roman" w:hAnsi="Calibri" w:cs="Calibri"/>
                <w:lang w:eastAsia="en-GB"/>
              </w:rPr>
              <w:t xml:space="preserve"> (20%)</w:t>
            </w:r>
          </w:p>
        </w:tc>
      </w:tr>
      <w:tr w:rsidR="009342AB" w:rsidRPr="00D405FB" w:rsidTr="0036480A">
        <w:trPr>
          <w:trHeight w:val="300"/>
          <w:jc w:val="center"/>
        </w:trPr>
        <w:tc>
          <w:tcPr>
            <w:tcW w:w="2210" w:type="dxa"/>
            <w:shd w:val="clear" w:color="auto" w:fill="auto"/>
            <w:noWrap/>
            <w:vAlign w:val="bottom"/>
            <w:hideMark/>
          </w:tcPr>
          <w:p w:rsidR="009342AB" w:rsidRPr="00D405FB" w:rsidRDefault="009342AB" w:rsidP="009342AB">
            <w:pPr>
              <w:rPr>
                <w:rFonts w:ascii="Calibri" w:eastAsia="Times New Roman" w:hAnsi="Calibri" w:cs="Calibri"/>
                <w:lang w:eastAsia="en-GB"/>
              </w:rPr>
            </w:pPr>
            <w:r w:rsidRPr="00D405FB">
              <w:rPr>
                <w:rFonts w:ascii="Calibri" w:eastAsia="Times New Roman" w:hAnsi="Calibri" w:cs="Calibri"/>
                <w:lang w:eastAsia="en-GB"/>
              </w:rPr>
              <w:t>Hereditary Clear</w:t>
            </w:r>
          </w:p>
        </w:tc>
        <w:tc>
          <w:tcPr>
            <w:tcW w:w="1339" w:type="dxa"/>
            <w:shd w:val="clear" w:color="auto" w:fill="auto"/>
            <w:noWrap/>
            <w:vAlign w:val="bottom"/>
            <w:hideMark/>
          </w:tcPr>
          <w:p w:rsidR="009342AB" w:rsidRPr="00D405FB" w:rsidRDefault="009342AB" w:rsidP="009342AB">
            <w:pPr>
              <w:jc w:val="center"/>
              <w:rPr>
                <w:rFonts w:ascii="Calibri" w:eastAsia="Times New Roman" w:hAnsi="Calibri" w:cs="Calibri"/>
                <w:lang w:eastAsia="en-GB"/>
              </w:rPr>
            </w:pPr>
            <w:r w:rsidRPr="00D405FB">
              <w:rPr>
                <w:rFonts w:ascii="Calibri" w:eastAsia="Times New Roman" w:hAnsi="Calibri" w:cs="Calibri"/>
                <w:lang w:eastAsia="en-GB"/>
              </w:rPr>
              <w:t>1</w:t>
            </w:r>
            <w:r w:rsidR="00C3068F">
              <w:rPr>
                <w:rFonts w:ascii="Calibri" w:eastAsia="Times New Roman" w:hAnsi="Calibri" w:cs="Calibri"/>
                <w:lang w:eastAsia="en-GB"/>
              </w:rPr>
              <w:t>4</w:t>
            </w:r>
            <w:r w:rsidR="005B29A5">
              <w:rPr>
                <w:rFonts w:ascii="Calibri" w:eastAsia="Times New Roman" w:hAnsi="Calibri" w:cs="Calibri"/>
                <w:lang w:eastAsia="en-GB"/>
              </w:rPr>
              <w:t xml:space="preserve"> (48%)</w:t>
            </w:r>
          </w:p>
        </w:tc>
        <w:tc>
          <w:tcPr>
            <w:tcW w:w="1264" w:type="dxa"/>
            <w:shd w:val="clear" w:color="auto" w:fill="auto"/>
            <w:noWrap/>
            <w:vAlign w:val="bottom"/>
            <w:hideMark/>
          </w:tcPr>
          <w:p w:rsidR="009342AB" w:rsidRPr="00D405FB" w:rsidRDefault="009342AB" w:rsidP="009342AB">
            <w:pPr>
              <w:jc w:val="center"/>
              <w:rPr>
                <w:rFonts w:ascii="Calibri" w:eastAsia="Times New Roman" w:hAnsi="Calibri" w:cs="Calibri"/>
                <w:lang w:eastAsia="en-GB"/>
              </w:rPr>
            </w:pPr>
            <w:r w:rsidRPr="00D405FB">
              <w:rPr>
                <w:rFonts w:ascii="Calibri" w:eastAsia="Times New Roman" w:hAnsi="Calibri" w:cs="Calibri"/>
                <w:lang w:eastAsia="en-GB"/>
              </w:rPr>
              <w:t>2</w:t>
            </w:r>
            <w:r w:rsidR="00C3068F">
              <w:rPr>
                <w:rFonts w:ascii="Calibri" w:eastAsia="Times New Roman" w:hAnsi="Calibri" w:cs="Calibri"/>
                <w:lang w:eastAsia="en-GB"/>
              </w:rPr>
              <w:t>5</w:t>
            </w:r>
            <w:r w:rsidR="0036480A">
              <w:rPr>
                <w:rFonts w:ascii="Calibri" w:eastAsia="Times New Roman" w:hAnsi="Calibri" w:cs="Calibri"/>
                <w:lang w:eastAsia="en-GB"/>
              </w:rPr>
              <w:t xml:space="preserve"> (71%)</w:t>
            </w:r>
          </w:p>
        </w:tc>
      </w:tr>
      <w:tr w:rsidR="009342AB" w:rsidRPr="00D405FB" w:rsidTr="0036480A">
        <w:trPr>
          <w:trHeight w:val="300"/>
          <w:jc w:val="center"/>
        </w:trPr>
        <w:tc>
          <w:tcPr>
            <w:tcW w:w="2210" w:type="dxa"/>
            <w:shd w:val="clear" w:color="auto" w:fill="auto"/>
            <w:noWrap/>
            <w:vAlign w:val="bottom"/>
            <w:hideMark/>
          </w:tcPr>
          <w:p w:rsidR="009342AB" w:rsidRPr="00D405FB" w:rsidRDefault="009342AB" w:rsidP="009342AB">
            <w:pPr>
              <w:rPr>
                <w:rFonts w:ascii="Calibri" w:eastAsia="Times New Roman" w:hAnsi="Calibri" w:cs="Calibri"/>
                <w:lang w:eastAsia="en-GB"/>
              </w:rPr>
            </w:pPr>
            <w:r w:rsidRPr="00D405FB">
              <w:rPr>
                <w:rFonts w:ascii="Calibri" w:eastAsia="Times New Roman" w:hAnsi="Calibri" w:cs="Calibri"/>
                <w:lang w:eastAsia="en-GB"/>
              </w:rPr>
              <w:t>No result published</w:t>
            </w:r>
          </w:p>
        </w:tc>
        <w:tc>
          <w:tcPr>
            <w:tcW w:w="1339" w:type="dxa"/>
            <w:shd w:val="clear" w:color="auto" w:fill="auto"/>
            <w:noWrap/>
            <w:vAlign w:val="bottom"/>
            <w:hideMark/>
          </w:tcPr>
          <w:p w:rsidR="009342AB" w:rsidRPr="00D405FB" w:rsidRDefault="00C3068F" w:rsidP="009342AB">
            <w:pPr>
              <w:jc w:val="center"/>
              <w:rPr>
                <w:rFonts w:ascii="Calibri" w:eastAsia="Times New Roman" w:hAnsi="Calibri" w:cs="Calibri"/>
                <w:lang w:eastAsia="en-GB"/>
              </w:rPr>
            </w:pPr>
            <w:r>
              <w:rPr>
                <w:rFonts w:ascii="Calibri" w:eastAsia="Times New Roman" w:hAnsi="Calibri" w:cs="Calibri"/>
                <w:lang w:eastAsia="en-GB"/>
              </w:rPr>
              <w:t>7</w:t>
            </w:r>
            <w:r w:rsidR="003E139C">
              <w:rPr>
                <w:rFonts w:ascii="Calibri" w:eastAsia="Times New Roman" w:hAnsi="Calibri" w:cs="Calibri"/>
                <w:lang w:eastAsia="en-GB"/>
              </w:rPr>
              <w:t xml:space="preserve"> (24%)</w:t>
            </w:r>
          </w:p>
        </w:tc>
        <w:tc>
          <w:tcPr>
            <w:tcW w:w="1264" w:type="dxa"/>
            <w:shd w:val="clear" w:color="auto" w:fill="auto"/>
            <w:noWrap/>
            <w:vAlign w:val="bottom"/>
            <w:hideMark/>
          </w:tcPr>
          <w:p w:rsidR="009342AB" w:rsidRPr="00D405FB" w:rsidRDefault="009342AB" w:rsidP="009342AB">
            <w:pPr>
              <w:jc w:val="center"/>
              <w:rPr>
                <w:rFonts w:ascii="Calibri" w:eastAsia="Times New Roman" w:hAnsi="Calibri" w:cs="Calibri"/>
                <w:lang w:eastAsia="en-GB"/>
              </w:rPr>
            </w:pPr>
            <w:r w:rsidRPr="00D405FB">
              <w:rPr>
                <w:rFonts w:ascii="Calibri" w:eastAsia="Times New Roman" w:hAnsi="Calibri" w:cs="Calibri"/>
                <w:lang w:eastAsia="en-GB"/>
              </w:rPr>
              <w:t>3</w:t>
            </w:r>
            <w:r w:rsidR="0036480A">
              <w:rPr>
                <w:rFonts w:ascii="Calibri" w:eastAsia="Times New Roman" w:hAnsi="Calibri" w:cs="Calibri"/>
                <w:lang w:eastAsia="en-GB"/>
              </w:rPr>
              <w:t xml:space="preserve"> (9</w:t>
            </w:r>
            <w:r w:rsidR="003E139C">
              <w:rPr>
                <w:rFonts w:ascii="Calibri" w:eastAsia="Times New Roman" w:hAnsi="Calibri" w:cs="Calibri"/>
                <w:lang w:eastAsia="en-GB"/>
              </w:rPr>
              <w:t>%)</w:t>
            </w:r>
          </w:p>
        </w:tc>
      </w:tr>
    </w:tbl>
    <w:p w:rsidR="00134441" w:rsidRDefault="00134441" w:rsidP="00B71DD7">
      <w:pPr>
        <w:jc w:val="both"/>
      </w:pPr>
    </w:p>
    <w:p w:rsidR="009342AB" w:rsidRPr="00D405FB" w:rsidRDefault="009342AB" w:rsidP="00B71DD7">
      <w:pPr>
        <w:jc w:val="both"/>
      </w:pPr>
    </w:p>
    <w:p w:rsidR="009342AB" w:rsidRPr="00644C60" w:rsidRDefault="00644C60" w:rsidP="00B71DD7">
      <w:pPr>
        <w:jc w:val="both"/>
        <w:rPr>
          <w:b/>
          <w:sz w:val="28"/>
          <w:szCs w:val="28"/>
        </w:rPr>
      </w:pPr>
      <w:r w:rsidRPr="00644C60">
        <w:rPr>
          <w:b/>
          <w:sz w:val="28"/>
          <w:szCs w:val="28"/>
        </w:rPr>
        <w:t xml:space="preserve">1.4   Exercise Induced Collapse </w:t>
      </w:r>
      <w:r w:rsidR="000C0D17" w:rsidRPr="00644C60">
        <w:rPr>
          <w:b/>
          <w:sz w:val="28"/>
          <w:szCs w:val="28"/>
        </w:rPr>
        <w:t>(EIC)</w:t>
      </w:r>
    </w:p>
    <w:p w:rsidR="00EA7B97" w:rsidRDefault="00134441" w:rsidP="00EA7B97">
      <w:pPr>
        <w:jc w:val="both"/>
      </w:pPr>
      <w:r>
        <w:t>This is a</w:t>
      </w:r>
      <w:r w:rsidR="00644C60">
        <w:t xml:space="preserve"> </w:t>
      </w:r>
      <w:r>
        <w:t xml:space="preserve">hereditary disease which manifested itself in 2015 and, as above, the Breed Health Plan recommends that all breeding stock is </w:t>
      </w:r>
      <w:r w:rsidR="000D314F">
        <w:t xml:space="preserve">DNA </w:t>
      </w:r>
      <w:r>
        <w:t>tested.</w:t>
      </w:r>
      <w:r w:rsidR="00EA7B97">
        <w:t xml:space="preserve"> Further advice about choice of breeding partners is av</w:t>
      </w:r>
      <w:r w:rsidR="000D314F">
        <w:t>ailable on the Clumber Spaniel C</w:t>
      </w:r>
      <w:r w:rsidR="00EA7B97">
        <w:t>lub website.</w:t>
      </w:r>
    </w:p>
    <w:p w:rsidR="00134441" w:rsidRDefault="00134441" w:rsidP="00B71DD7">
      <w:pPr>
        <w:jc w:val="both"/>
      </w:pPr>
    </w:p>
    <w:p w:rsidR="006A62B7" w:rsidRDefault="006A62B7" w:rsidP="00B71DD7">
      <w:pPr>
        <w:jc w:val="both"/>
      </w:pPr>
      <w:r>
        <w:t>DNA testing became available in 2015 and the first test results published are dated August 2015. Therefore results</w:t>
      </w:r>
      <w:r w:rsidR="00644C60">
        <w:t xml:space="preserve"> would not have been available </w:t>
      </w:r>
      <w:r>
        <w:t>when making breeding decisions except for litte</w:t>
      </w:r>
      <w:r w:rsidR="00F544D6">
        <w:t>rs born very late in the year and so results are not reported in detail.</w:t>
      </w:r>
    </w:p>
    <w:p w:rsidR="00134441" w:rsidRDefault="00134441" w:rsidP="00B71DD7">
      <w:pPr>
        <w:jc w:val="both"/>
      </w:pPr>
    </w:p>
    <w:p w:rsidR="009342AB" w:rsidRPr="00D405FB" w:rsidRDefault="006A62B7" w:rsidP="006A62B7">
      <w:pPr>
        <w:jc w:val="both"/>
        <w:rPr>
          <w:b/>
        </w:rPr>
      </w:pPr>
      <w:r>
        <w:t xml:space="preserve">However even though </w:t>
      </w:r>
      <w:r w:rsidR="00644C60">
        <w:t>some</w:t>
      </w:r>
      <w:r>
        <w:t xml:space="preserve"> tests </w:t>
      </w:r>
      <w:r w:rsidR="00644C60">
        <w:t>may</w:t>
      </w:r>
      <w:r>
        <w:t xml:space="preserve"> have been done after mating it is worth noting that </w:t>
      </w:r>
      <w:r w:rsidR="00AF7E2F" w:rsidRPr="00D405FB">
        <w:t xml:space="preserve"> no ‘</w:t>
      </w:r>
      <w:proofErr w:type="spellStart"/>
      <w:r w:rsidR="00AF7E2F" w:rsidRPr="00D405FB">
        <w:t>affecteds</w:t>
      </w:r>
      <w:proofErr w:type="spellEnd"/>
      <w:r w:rsidR="00AF7E2F" w:rsidRPr="00D405FB">
        <w:t xml:space="preserve">’ </w:t>
      </w:r>
      <w:r>
        <w:t>had been</w:t>
      </w:r>
      <w:r w:rsidR="00AF7E2F" w:rsidRPr="00D405FB">
        <w:t xml:space="preserve"> used and</w:t>
      </w:r>
      <w:r w:rsidR="009342AB" w:rsidRPr="00D405FB">
        <w:t xml:space="preserve"> there </w:t>
      </w:r>
      <w:r>
        <w:t xml:space="preserve">had been </w:t>
      </w:r>
      <w:r w:rsidR="009342AB" w:rsidRPr="00D405FB">
        <w:t xml:space="preserve">no </w:t>
      </w:r>
      <w:r w:rsidR="00C71633" w:rsidRPr="00D405FB">
        <w:t xml:space="preserve">‘carriers’ mated to ‘carriers’. </w:t>
      </w:r>
    </w:p>
    <w:p w:rsidR="00134441" w:rsidRDefault="00134441" w:rsidP="00B71DD7">
      <w:pPr>
        <w:jc w:val="both"/>
        <w:rPr>
          <w:b/>
        </w:rPr>
      </w:pPr>
    </w:p>
    <w:p w:rsidR="001B642D" w:rsidRPr="00644C60" w:rsidRDefault="00644C60" w:rsidP="00B71DD7">
      <w:pPr>
        <w:jc w:val="both"/>
        <w:rPr>
          <w:b/>
          <w:sz w:val="28"/>
          <w:szCs w:val="28"/>
        </w:rPr>
      </w:pPr>
      <w:r w:rsidRPr="00644C60">
        <w:rPr>
          <w:b/>
          <w:sz w:val="28"/>
          <w:szCs w:val="28"/>
        </w:rPr>
        <w:t>1.5   Elbow Scores</w:t>
      </w:r>
    </w:p>
    <w:p w:rsidR="00644C60" w:rsidRDefault="001B642D" w:rsidP="00B71DD7">
      <w:pPr>
        <w:jc w:val="both"/>
      </w:pPr>
      <w:r>
        <w:t>Elbow scre</w:t>
      </w:r>
      <w:r w:rsidR="00134441">
        <w:t>ening is not included in the Breed</w:t>
      </w:r>
      <w:r>
        <w:t xml:space="preserve"> Health Plan as a requirement or a recommendation</w:t>
      </w:r>
      <w:r w:rsidR="00644C60">
        <w:t>, although results are published on the Clumber Spaniel Club website</w:t>
      </w:r>
      <w:r>
        <w:t xml:space="preserve">. </w:t>
      </w:r>
    </w:p>
    <w:p w:rsidR="00644C60" w:rsidRDefault="00644C60" w:rsidP="00B71DD7">
      <w:pPr>
        <w:jc w:val="both"/>
      </w:pPr>
    </w:p>
    <w:p w:rsidR="001B642D" w:rsidRPr="001B642D" w:rsidRDefault="00644C60" w:rsidP="00B71DD7">
      <w:pPr>
        <w:jc w:val="both"/>
      </w:pPr>
      <w:r>
        <w:t xml:space="preserve">Some </w:t>
      </w:r>
      <w:r w:rsidR="001B642D">
        <w:t xml:space="preserve">of the dogs used in 2015 </w:t>
      </w:r>
      <w:r w:rsidR="006A62B7">
        <w:t xml:space="preserve">did have </w:t>
      </w:r>
      <w:r w:rsidR="001B642D">
        <w:t>a test result recorded. There were 12 sires and 8 dams with a test result and all had a zero score.</w:t>
      </w:r>
    </w:p>
    <w:p w:rsidR="0064315E" w:rsidRPr="00D405FB" w:rsidRDefault="00B133AD" w:rsidP="00B133AD">
      <w:pPr>
        <w:jc w:val="both"/>
      </w:pPr>
      <w:r w:rsidRPr="00D405FB">
        <w:t xml:space="preserve"> </w:t>
      </w:r>
    </w:p>
    <w:p w:rsidR="00512456" w:rsidRPr="00D405FB" w:rsidRDefault="00512456" w:rsidP="00F961B4">
      <w:pPr>
        <w:pStyle w:val="ListParagraph"/>
        <w:ind w:left="360"/>
        <w:jc w:val="both"/>
      </w:pPr>
    </w:p>
    <w:p w:rsidR="00F544D6" w:rsidRPr="00F544D6" w:rsidRDefault="00F544D6" w:rsidP="00DF0054">
      <w:pPr>
        <w:pStyle w:val="ListParagraph"/>
        <w:ind w:left="0"/>
        <w:jc w:val="both"/>
        <w:rPr>
          <w:b/>
          <w:sz w:val="32"/>
          <w:szCs w:val="32"/>
        </w:rPr>
      </w:pPr>
      <w:r>
        <w:br w:type="column"/>
      </w:r>
      <w:r w:rsidRPr="00F544D6">
        <w:rPr>
          <w:b/>
          <w:sz w:val="32"/>
          <w:szCs w:val="32"/>
        </w:rPr>
        <w:lastRenderedPageBreak/>
        <w:t xml:space="preserve">CONCLUSIONS </w:t>
      </w:r>
    </w:p>
    <w:p w:rsidR="00DF0054" w:rsidRDefault="00DF0054" w:rsidP="00DF0054">
      <w:pPr>
        <w:pStyle w:val="ListParagraph"/>
        <w:ind w:left="0"/>
        <w:jc w:val="both"/>
      </w:pPr>
    </w:p>
    <w:p w:rsidR="00F544D6" w:rsidRDefault="00F544D6" w:rsidP="00F544D6">
      <w:pPr>
        <w:pStyle w:val="ListParagraph"/>
        <w:numPr>
          <w:ilvl w:val="0"/>
          <w:numId w:val="8"/>
        </w:numPr>
        <w:spacing w:after="240"/>
        <w:ind w:left="357" w:hanging="357"/>
      </w:pPr>
      <w:r>
        <w:t>The number of litters and puppies born show</w:t>
      </w:r>
      <w:r w:rsidR="00433013">
        <w:t>s</w:t>
      </w:r>
      <w:r>
        <w:t xml:space="preserve"> a decline</w:t>
      </w:r>
      <w:r w:rsidR="00433013">
        <w:t xml:space="preserve"> in the years</w:t>
      </w:r>
      <w:r>
        <w:t xml:space="preserve"> </w:t>
      </w:r>
      <w:r w:rsidR="00433013">
        <w:t>between 2006 and 2015</w:t>
      </w:r>
      <w:r>
        <w:t xml:space="preserve">; and </w:t>
      </w:r>
      <w:r w:rsidR="00A7672A">
        <w:t xml:space="preserve">in 2015 </w:t>
      </w:r>
      <w:r>
        <w:t>both were below the average of the past 10 years.</w:t>
      </w:r>
      <w:r>
        <w:br/>
      </w:r>
    </w:p>
    <w:p w:rsidR="00F544D6" w:rsidRDefault="00F544D6" w:rsidP="00F544D6">
      <w:pPr>
        <w:pStyle w:val="ListParagraph"/>
        <w:numPr>
          <w:ilvl w:val="0"/>
          <w:numId w:val="8"/>
        </w:numPr>
        <w:spacing w:after="240"/>
        <w:ind w:left="357" w:hanging="357"/>
      </w:pPr>
      <w:r>
        <w:t>The average number of puppies per litter was above the av</w:t>
      </w:r>
      <w:r w:rsidR="00690355">
        <w:t xml:space="preserve">erage for the past 10 years which has </w:t>
      </w:r>
      <w:r>
        <w:t xml:space="preserve">remained </w:t>
      </w:r>
      <w:r w:rsidR="00690355">
        <w:t>fairly constant.</w:t>
      </w:r>
      <w:r w:rsidR="00690355">
        <w:br/>
      </w:r>
    </w:p>
    <w:p w:rsidR="008C5397" w:rsidRDefault="00690355" w:rsidP="00F544D6">
      <w:pPr>
        <w:pStyle w:val="ListParagraph"/>
        <w:numPr>
          <w:ilvl w:val="0"/>
          <w:numId w:val="8"/>
        </w:numPr>
      </w:pPr>
      <w:r>
        <w:t xml:space="preserve">The average KC COI of all </w:t>
      </w:r>
      <w:proofErr w:type="spellStart"/>
      <w:r>
        <w:t>matings</w:t>
      </w:r>
      <w:proofErr w:type="spellEnd"/>
      <w:r>
        <w:t xml:space="preserve"> in the year had risen slightly to 19.5% which is higher than the KC average published mid-year and suggests that it could increase again when the KC produces its average in 2017.</w:t>
      </w:r>
      <w:r>
        <w:br/>
      </w:r>
    </w:p>
    <w:p w:rsidR="00690355" w:rsidRDefault="00690355" w:rsidP="00F544D6">
      <w:pPr>
        <w:pStyle w:val="ListParagraph"/>
        <w:numPr>
          <w:ilvl w:val="0"/>
          <w:numId w:val="8"/>
        </w:numPr>
      </w:pPr>
      <w:r>
        <w:t xml:space="preserve">A third (31%) of all </w:t>
      </w:r>
      <w:proofErr w:type="spellStart"/>
      <w:r>
        <w:t>matings</w:t>
      </w:r>
      <w:proofErr w:type="spellEnd"/>
      <w:r>
        <w:t xml:space="preserve"> </w:t>
      </w:r>
      <w:proofErr w:type="gramStart"/>
      <w:r>
        <w:t>were</w:t>
      </w:r>
      <w:proofErr w:type="gramEnd"/>
      <w:r>
        <w:t>, according to the KC definition, the “genetic equivalent” of a mating between a father and daughter.</w:t>
      </w:r>
      <w:r>
        <w:br/>
      </w:r>
    </w:p>
    <w:p w:rsidR="00690355" w:rsidRDefault="00BC63D8" w:rsidP="00F544D6">
      <w:pPr>
        <w:pStyle w:val="ListParagraph"/>
        <w:numPr>
          <w:ilvl w:val="0"/>
          <w:numId w:val="8"/>
        </w:numPr>
      </w:pPr>
      <w:r>
        <w:t>The recommendation to limit the number of puppies per sire was</w:t>
      </w:r>
      <w:r w:rsidR="00B57D65">
        <w:t xml:space="preserve"> included</w:t>
      </w:r>
      <w:r>
        <w:t xml:space="preserve"> in the </w:t>
      </w:r>
      <w:r w:rsidR="00B57D65">
        <w:t xml:space="preserve">first </w:t>
      </w:r>
      <w:r>
        <w:t xml:space="preserve">Breed Health Plan </w:t>
      </w:r>
      <w:r w:rsidR="00B57D65">
        <w:t xml:space="preserve">published </w:t>
      </w:r>
      <w:r>
        <w:t>three years ago. According to the calculation of the 5-year rolling total for the most prolific sires with a litter in 2015</w:t>
      </w:r>
      <w:r w:rsidR="00433013">
        <w:t>,</w:t>
      </w:r>
      <w:r>
        <w:t xml:space="preserve"> it appears that just one had exceeded the recommended total.</w:t>
      </w:r>
      <w:r w:rsidR="00690355">
        <w:br/>
      </w:r>
    </w:p>
    <w:p w:rsidR="00690355" w:rsidRDefault="00690355" w:rsidP="00F544D6">
      <w:pPr>
        <w:pStyle w:val="ListParagraph"/>
        <w:numPr>
          <w:ilvl w:val="0"/>
          <w:numId w:val="8"/>
        </w:numPr>
      </w:pPr>
      <w:r>
        <w:t xml:space="preserve">The number of repeat </w:t>
      </w:r>
      <w:proofErr w:type="spellStart"/>
      <w:r>
        <w:t>matings</w:t>
      </w:r>
      <w:proofErr w:type="spellEnd"/>
      <w:r>
        <w:t xml:space="preserve"> has declined over the past 10 years.</w:t>
      </w:r>
      <w:r w:rsidR="00BC63D8">
        <w:br/>
      </w:r>
    </w:p>
    <w:p w:rsidR="00BC63D8" w:rsidRDefault="00BC63D8" w:rsidP="00F544D6">
      <w:pPr>
        <w:pStyle w:val="ListParagraph"/>
        <w:numPr>
          <w:ilvl w:val="0"/>
          <w:numId w:val="8"/>
        </w:numPr>
      </w:pPr>
      <w:r>
        <w:t xml:space="preserve">This is the first report which </w:t>
      </w:r>
      <w:r w:rsidR="00DA391E">
        <w:t>has included an analysis of</w:t>
      </w:r>
      <w:r>
        <w:t xml:space="preserve"> the uptake of health tests for breeding stock and shows that</w:t>
      </w:r>
      <w:r w:rsidR="00C46A76">
        <w:t>:</w:t>
      </w:r>
    </w:p>
    <w:p w:rsidR="00C46A76" w:rsidRDefault="00C46A76" w:rsidP="00C46A76">
      <w:pPr>
        <w:pStyle w:val="ListParagraph"/>
        <w:numPr>
          <w:ilvl w:val="1"/>
          <w:numId w:val="8"/>
        </w:numPr>
        <w:ind w:left="709" w:hanging="283"/>
      </w:pPr>
      <w:r>
        <w:t xml:space="preserve">The majority of dogs (86%) and bitches (89%) had been hip scored before mating, however some with scores above the breed average were still </w:t>
      </w:r>
      <w:r w:rsidR="00D10F3B">
        <w:t xml:space="preserve">being </w:t>
      </w:r>
      <w:r>
        <w:t>used. The next report will also include analysis of the Estimated Breeding Values for hips.</w:t>
      </w:r>
    </w:p>
    <w:p w:rsidR="00C46A76" w:rsidRDefault="00C46A76" w:rsidP="00C46A76">
      <w:pPr>
        <w:pStyle w:val="ListParagraph"/>
        <w:numPr>
          <w:ilvl w:val="1"/>
          <w:numId w:val="8"/>
        </w:numPr>
        <w:ind w:left="709" w:hanging="283"/>
      </w:pPr>
      <w:r>
        <w:t>Only 24% of sires (7 dogs) and 20% of dams (7 dams) had a recorded result for an eye test</w:t>
      </w:r>
    </w:p>
    <w:p w:rsidR="00C46A76" w:rsidRDefault="00C46A76" w:rsidP="00C46A76">
      <w:pPr>
        <w:pStyle w:val="ListParagraph"/>
        <w:numPr>
          <w:ilvl w:val="1"/>
          <w:numId w:val="8"/>
        </w:numPr>
        <w:ind w:left="709" w:hanging="283"/>
      </w:pPr>
      <w:r>
        <w:t>A quarter of the dogs (7 or 24%) did not have a published PDP1 DNA test result, but only three dams (</w:t>
      </w:r>
      <w:r w:rsidR="00A7672A">
        <w:t xml:space="preserve">3 or </w:t>
      </w:r>
      <w:r>
        <w:t xml:space="preserve">9%) </w:t>
      </w:r>
      <w:r w:rsidR="00D10F3B">
        <w:t xml:space="preserve">similarly </w:t>
      </w:r>
      <w:r>
        <w:t>did not have a published result.</w:t>
      </w:r>
    </w:p>
    <w:p w:rsidR="00C46A76" w:rsidRDefault="00C46A76" w:rsidP="00C46A76">
      <w:pPr>
        <w:pStyle w:val="ListParagraph"/>
        <w:numPr>
          <w:ilvl w:val="1"/>
          <w:numId w:val="8"/>
        </w:numPr>
        <w:ind w:left="709" w:hanging="283"/>
      </w:pPr>
      <w:r>
        <w:t>The DNA test for EIC only became available in the middle of the year</w:t>
      </w:r>
      <w:r w:rsidR="00A7672A">
        <w:t xml:space="preserve"> so it is difficult to draw conclusions from the number of dogs tested, although </w:t>
      </w:r>
      <w:r w:rsidR="00D10F3B">
        <w:t xml:space="preserve">it is </w:t>
      </w:r>
      <w:r w:rsidR="00A7672A">
        <w:t>worth noting that no dogs with an ‘affected’ result had been used.</w:t>
      </w:r>
    </w:p>
    <w:p w:rsidR="00B57D65" w:rsidRDefault="00A7672A" w:rsidP="00A7672A">
      <w:pPr>
        <w:pStyle w:val="ListParagraph"/>
        <w:numPr>
          <w:ilvl w:val="1"/>
          <w:numId w:val="8"/>
        </w:numPr>
        <w:ind w:left="709" w:hanging="283"/>
      </w:pPr>
      <w:r>
        <w:t>Although elbow scoring is not a recommendation some breeders have had their dogs scored before breeding.</w:t>
      </w:r>
      <w:r w:rsidR="00B57D65">
        <w:br/>
      </w:r>
    </w:p>
    <w:p w:rsidR="00C46A76" w:rsidRDefault="00D10F3B" w:rsidP="00B57D65">
      <w:pPr>
        <w:pStyle w:val="ListParagraph"/>
        <w:numPr>
          <w:ilvl w:val="0"/>
          <w:numId w:val="8"/>
        </w:numPr>
      </w:pPr>
      <w:r>
        <w:t>While i</w:t>
      </w:r>
      <w:r w:rsidR="00C46A76">
        <w:t xml:space="preserve">t is understood that breeding decisions will take more into account than </w:t>
      </w:r>
      <w:r w:rsidR="00B57D65">
        <w:t xml:space="preserve">factors such as </w:t>
      </w:r>
      <w:r w:rsidR="00C46A76">
        <w:t>the COI of the mating and health test results</w:t>
      </w:r>
      <w:r>
        <w:t>,</w:t>
      </w:r>
      <w:r w:rsidR="00A7672A">
        <w:t xml:space="preserve"> the Breed Health Plan </w:t>
      </w:r>
      <w:r>
        <w:t xml:space="preserve">includes recommendations about these factors because following them could lead either to improvement in the genetic health of the breed or in the health of individuals dogs. </w:t>
      </w:r>
    </w:p>
    <w:p w:rsidR="00E35478" w:rsidRDefault="00E35478" w:rsidP="00F544D6"/>
    <w:p w:rsidR="00A33A4B" w:rsidRPr="00D405FB" w:rsidRDefault="00A33A4B" w:rsidP="00F544D6"/>
    <w:sectPr w:rsidR="00A33A4B" w:rsidRPr="00D405FB" w:rsidSect="007F10D1">
      <w:footerReference w:type="default" r:id="rId15"/>
      <w:pgSz w:w="11906" w:h="16838"/>
      <w:pgMar w:top="1440" w:right="1080" w:bottom="1440" w:left="1080" w:header="708" w:footer="4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FF2" w:rsidRDefault="00F33FF2" w:rsidP="00FB2261">
      <w:r>
        <w:separator/>
      </w:r>
    </w:p>
  </w:endnote>
  <w:endnote w:type="continuationSeparator" w:id="0">
    <w:p w:rsidR="00F33FF2" w:rsidRDefault="00F33FF2" w:rsidP="00FB22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680047"/>
      <w:docPartObj>
        <w:docPartGallery w:val="Page Numbers (Bottom of Page)"/>
        <w:docPartUnique/>
      </w:docPartObj>
    </w:sdtPr>
    <w:sdtContent>
      <w:p w:rsidR="00E85A56" w:rsidRDefault="00056169">
        <w:pPr>
          <w:pStyle w:val="Footer"/>
          <w:jc w:val="right"/>
        </w:pPr>
        <w:fldSimple w:instr=" PAGE   \* MERGEFORMAT ">
          <w:r w:rsidR="005A4424">
            <w:rPr>
              <w:noProof/>
            </w:rPr>
            <w:t>3</w:t>
          </w:r>
        </w:fldSimple>
      </w:p>
    </w:sdtContent>
  </w:sdt>
  <w:p w:rsidR="00E85A56" w:rsidRPr="00633BFB" w:rsidRDefault="00E85A56">
    <w:pPr>
      <w:pStyle w:val="Footer"/>
      <w:rPr>
        <w:b/>
        <w:i/>
        <w:sz w:val="20"/>
        <w:szCs w:val="20"/>
      </w:rPr>
    </w:pPr>
    <w:r>
      <w:rPr>
        <w:b/>
        <w:i/>
        <w:sz w:val="20"/>
        <w:szCs w:val="20"/>
      </w:rPr>
      <w:t>BW/December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FF2" w:rsidRDefault="00F33FF2" w:rsidP="00FB2261">
      <w:r>
        <w:separator/>
      </w:r>
    </w:p>
  </w:footnote>
  <w:footnote w:type="continuationSeparator" w:id="0">
    <w:p w:rsidR="00F33FF2" w:rsidRDefault="00F33FF2" w:rsidP="00FB22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4257"/>
    <w:multiLevelType w:val="hybridMultilevel"/>
    <w:tmpl w:val="A74EE3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B91503"/>
    <w:multiLevelType w:val="hybridMultilevel"/>
    <w:tmpl w:val="B5B0C2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C4B1FE5"/>
    <w:multiLevelType w:val="hybridMultilevel"/>
    <w:tmpl w:val="AF98F0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26006D8"/>
    <w:multiLevelType w:val="hybridMultilevel"/>
    <w:tmpl w:val="92E4D6D6"/>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4">
    <w:nsid w:val="248D7A09"/>
    <w:multiLevelType w:val="hybridMultilevel"/>
    <w:tmpl w:val="C504E6B8"/>
    <w:lvl w:ilvl="0" w:tplc="8B222500">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5">
    <w:nsid w:val="25A13D2C"/>
    <w:multiLevelType w:val="hybridMultilevel"/>
    <w:tmpl w:val="F3FC9EC6"/>
    <w:lvl w:ilvl="0" w:tplc="0809000F">
      <w:start w:val="1"/>
      <w:numFmt w:val="decimal"/>
      <w:lvlText w:val="%1."/>
      <w:lvlJc w:val="left"/>
      <w:pPr>
        <w:ind w:left="6" w:hanging="360"/>
      </w:p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6">
    <w:nsid w:val="32C90F98"/>
    <w:multiLevelType w:val="multilevel"/>
    <w:tmpl w:val="F7308A0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72A770A"/>
    <w:multiLevelType w:val="hybridMultilevel"/>
    <w:tmpl w:val="FB0EE66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87C2117"/>
    <w:multiLevelType w:val="hybridMultilevel"/>
    <w:tmpl w:val="42D8B49C"/>
    <w:lvl w:ilvl="0" w:tplc="7D440E84">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5"/>
  </w:num>
  <w:num w:numId="2">
    <w:abstractNumId w:val="0"/>
  </w:num>
  <w:num w:numId="3">
    <w:abstractNumId w:val="1"/>
  </w:num>
  <w:num w:numId="4">
    <w:abstractNumId w:val="4"/>
  </w:num>
  <w:num w:numId="5">
    <w:abstractNumId w:val="8"/>
  </w:num>
  <w:num w:numId="6">
    <w:abstractNumId w:val="6"/>
  </w:num>
  <w:num w:numId="7">
    <w:abstractNumId w:val="7"/>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83978"/>
    <w:rsid w:val="00013A59"/>
    <w:rsid w:val="00017E2D"/>
    <w:rsid w:val="000215F5"/>
    <w:rsid w:val="000428EB"/>
    <w:rsid w:val="00046A86"/>
    <w:rsid w:val="00053B5F"/>
    <w:rsid w:val="00056169"/>
    <w:rsid w:val="0007142D"/>
    <w:rsid w:val="00074288"/>
    <w:rsid w:val="0007449D"/>
    <w:rsid w:val="00092104"/>
    <w:rsid w:val="0009360C"/>
    <w:rsid w:val="000B06F4"/>
    <w:rsid w:val="000B0ABE"/>
    <w:rsid w:val="000C07D9"/>
    <w:rsid w:val="000C0D17"/>
    <w:rsid w:val="000C4668"/>
    <w:rsid w:val="000D2C05"/>
    <w:rsid w:val="000D314F"/>
    <w:rsid w:val="000D3507"/>
    <w:rsid w:val="000D7B8A"/>
    <w:rsid w:val="000E1B76"/>
    <w:rsid w:val="000E2823"/>
    <w:rsid w:val="000F074B"/>
    <w:rsid w:val="000F53A0"/>
    <w:rsid w:val="00110773"/>
    <w:rsid w:val="00114ACD"/>
    <w:rsid w:val="00114F82"/>
    <w:rsid w:val="00120CBF"/>
    <w:rsid w:val="0012408B"/>
    <w:rsid w:val="00130A3F"/>
    <w:rsid w:val="00131C7D"/>
    <w:rsid w:val="0013308F"/>
    <w:rsid w:val="00134441"/>
    <w:rsid w:val="00143038"/>
    <w:rsid w:val="0014487B"/>
    <w:rsid w:val="00144A00"/>
    <w:rsid w:val="001457F3"/>
    <w:rsid w:val="00163332"/>
    <w:rsid w:val="00173B9A"/>
    <w:rsid w:val="00191860"/>
    <w:rsid w:val="001B642D"/>
    <w:rsid w:val="001C2B76"/>
    <w:rsid w:val="001C3671"/>
    <w:rsid w:val="001E3FEB"/>
    <w:rsid w:val="001F0BA6"/>
    <w:rsid w:val="001F72B8"/>
    <w:rsid w:val="00202B42"/>
    <w:rsid w:val="00222373"/>
    <w:rsid w:val="00225C02"/>
    <w:rsid w:val="00226D76"/>
    <w:rsid w:val="00235C35"/>
    <w:rsid w:val="00240227"/>
    <w:rsid w:val="002443DA"/>
    <w:rsid w:val="00253BFC"/>
    <w:rsid w:val="00261FA0"/>
    <w:rsid w:val="00263413"/>
    <w:rsid w:val="00266725"/>
    <w:rsid w:val="00273843"/>
    <w:rsid w:val="0027503C"/>
    <w:rsid w:val="0028287B"/>
    <w:rsid w:val="00283A7B"/>
    <w:rsid w:val="00284212"/>
    <w:rsid w:val="00284376"/>
    <w:rsid w:val="002936D8"/>
    <w:rsid w:val="002A1643"/>
    <w:rsid w:val="002A5EDA"/>
    <w:rsid w:val="002A6558"/>
    <w:rsid w:val="002B4518"/>
    <w:rsid w:val="002C7A36"/>
    <w:rsid w:val="002D4978"/>
    <w:rsid w:val="002F1EDB"/>
    <w:rsid w:val="002F3C73"/>
    <w:rsid w:val="002F4F76"/>
    <w:rsid w:val="002F5E7A"/>
    <w:rsid w:val="002F65BE"/>
    <w:rsid w:val="0030490F"/>
    <w:rsid w:val="00304F7D"/>
    <w:rsid w:val="00334BA8"/>
    <w:rsid w:val="00343A79"/>
    <w:rsid w:val="0036480A"/>
    <w:rsid w:val="00365076"/>
    <w:rsid w:val="00367957"/>
    <w:rsid w:val="00370720"/>
    <w:rsid w:val="003874AC"/>
    <w:rsid w:val="00396156"/>
    <w:rsid w:val="00396D55"/>
    <w:rsid w:val="003B4909"/>
    <w:rsid w:val="003D1334"/>
    <w:rsid w:val="003E048E"/>
    <w:rsid w:val="003E139C"/>
    <w:rsid w:val="003F7EDE"/>
    <w:rsid w:val="00411F6A"/>
    <w:rsid w:val="00421551"/>
    <w:rsid w:val="00433013"/>
    <w:rsid w:val="004331FF"/>
    <w:rsid w:val="00440B2C"/>
    <w:rsid w:val="00444074"/>
    <w:rsid w:val="00444F83"/>
    <w:rsid w:val="0045077E"/>
    <w:rsid w:val="004565E8"/>
    <w:rsid w:val="00463715"/>
    <w:rsid w:val="00464806"/>
    <w:rsid w:val="00486A12"/>
    <w:rsid w:val="00486A23"/>
    <w:rsid w:val="00493D77"/>
    <w:rsid w:val="004955D6"/>
    <w:rsid w:val="004A3BE5"/>
    <w:rsid w:val="004A4B14"/>
    <w:rsid w:val="004B2C24"/>
    <w:rsid w:val="004C4743"/>
    <w:rsid w:val="004C6A8F"/>
    <w:rsid w:val="004D209D"/>
    <w:rsid w:val="004D2DF4"/>
    <w:rsid w:val="004E56BE"/>
    <w:rsid w:val="00500664"/>
    <w:rsid w:val="00512456"/>
    <w:rsid w:val="00522D99"/>
    <w:rsid w:val="00524B1D"/>
    <w:rsid w:val="0053546E"/>
    <w:rsid w:val="00570CBD"/>
    <w:rsid w:val="005713F2"/>
    <w:rsid w:val="00573658"/>
    <w:rsid w:val="00577142"/>
    <w:rsid w:val="00580D97"/>
    <w:rsid w:val="005A0D0B"/>
    <w:rsid w:val="005A389A"/>
    <w:rsid w:val="005A4424"/>
    <w:rsid w:val="005B29A5"/>
    <w:rsid w:val="005B6393"/>
    <w:rsid w:val="005C0640"/>
    <w:rsid w:val="005C5B94"/>
    <w:rsid w:val="005D17C1"/>
    <w:rsid w:val="005D5465"/>
    <w:rsid w:val="005E243A"/>
    <w:rsid w:val="005E4502"/>
    <w:rsid w:val="005E4ECB"/>
    <w:rsid w:val="005E65B8"/>
    <w:rsid w:val="005F5A62"/>
    <w:rsid w:val="005F5DC7"/>
    <w:rsid w:val="005F6FDA"/>
    <w:rsid w:val="00600311"/>
    <w:rsid w:val="00601A8A"/>
    <w:rsid w:val="006020A3"/>
    <w:rsid w:val="00602C58"/>
    <w:rsid w:val="006254C3"/>
    <w:rsid w:val="00633BFB"/>
    <w:rsid w:val="00634A20"/>
    <w:rsid w:val="00634D69"/>
    <w:rsid w:val="00635BF7"/>
    <w:rsid w:val="0063727E"/>
    <w:rsid w:val="0064315E"/>
    <w:rsid w:val="00644C60"/>
    <w:rsid w:val="00645ED2"/>
    <w:rsid w:val="00646EF8"/>
    <w:rsid w:val="00670A9A"/>
    <w:rsid w:val="00683978"/>
    <w:rsid w:val="00690355"/>
    <w:rsid w:val="006946B1"/>
    <w:rsid w:val="00695526"/>
    <w:rsid w:val="006A62B7"/>
    <w:rsid w:val="006B0DE2"/>
    <w:rsid w:val="006B61FC"/>
    <w:rsid w:val="006C0981"/>
    <w:rsid w:val="006D6CB2"/>
    <w:rsid w:val="006E535F"/>
    <w:rsid w:val="006F51F1"/>
    <w:rsid w:val="00703602"/>
    <w:rsid w:val="0070431B"/>
    <w:rsid w:val="00710C79"/>
    <w:rsid w:val="0071179F"/>
    <w:rsid w:val="00722459"/>
    <w:rsid w:val="007360A5"/>
    <w:rsid w:val="007445D5"/>
    <w:rsid w:val="00752378"/>
    <w:rsid w:val="0076145C"/>
    <w:rsid w:val="00765DAD"/>
    <w:rsid w:val="007803C2"/>
    <w:rsid w:val="0078500A"/>
    <w:rsid w:val="00785FF7"/>
    <w:rsid w:val="0078665A"/>
    <w:rsid w:val="0079513C"/>
    <w:rsid w:val="007B01E9"/>
    <w:rsid w:val="007B7601"/>
    <w:rsid w:val="007C5BED"/>
    <w:rsid w:val="007E3E76"/>
    <w:rsid w:val="007E479B"/>
    <w:rsid w:val="007F10D1"/>
    <w:rsid w:val="007F480E"/>
    <w:rsid w:val="007F7404"/>
    <w:rsid w:val="00802A58"/>
    <w:rsid w:val="00837D25"/>
    <w:rsid w:val="0084442B"/>
    <w:rsid w:val="00864D5B"/>
    <w:rsid w:val="00865F24"/>
    <w:rsid w:val="00867650"/>
    <w:rsid w:val="00871696"/>
    <w:rsid w:val="00886AC8"/>
    <w:rsid w:val="008871A0"/>
    <w:rsid w:val="008A371B"/>
    <w:rsid w:val="008B2E2A"/>
    <w:rsid w:val="008C5397"/>
    <w:rsid w:val="008C5E5B"/>
    <w:rsid w:val="008E33DF"/>
    <w:rsid w:val="008E38A5"/>
    <w:rsid w:val="008E72F3"/>
    <w:rsid w:val="008F242A"/>
    <w:rsid w:val="008F70F8"/>
    <w:rsid w:val="00901D6D"/>
    <w:rsid w:val="00910054"/>
    <w:rsid w:val="00910A46"/>
    <w:rsid w:val="0091273A"/>
    <w:rsid w:val="0091402A"/>
    <w:rsid w:val="009342AB"/>
    <w:rsid w:val="00950E9D"/>
    <w:rsid w:val="00952B42"/>
    <w:rsid w:val="00954B34"/>
    <w:rsid w:val="00975EF1"/>
    <w:rsid w:val="00982B7C"/>
    <w:rsid w:val="00990136"/>
    <w:rsid w:val="00990BE6"/>
    <w:rsid w:val="009A7542"/>
    <w:rsid w:val="009B69FD"/>
    <w:rsid w:val="009D71E8"/>
    <w:rsid w:val="009E4978"/>
    <w:rsid w:val="009F7F9D"/>
    <w:rsid w:val="00A01E3E"/>
    <w:rsid w:val="00A0603A"/>
    <w:rsid w:val="00A06E56"/>
    <w:rsid w:val="00A07EA7"/>
    <w:rsid w:val="00A26E46"/>
    <w:rsid w:val="00A3130D"/>
    <w:rsid w:val="00A32C28"/>
    <w:rsid w:val="00A3365F"/>
    <w:rsid w:val="00A33A4B"/>
    <w:rsid w:val="00A350D0"/>
    <w:rsid w:val="00A35305"/>
    <w:rsid w:val="00A40B94"/>
    <w:rsid w:val="00A45E5B"/>
    <w:rsid w:val="00A476B2"/>
    <w:rsid w:val="00A579B2"/>
    <w:rsid w:val="00A7018F"/>
    <w:rsid w:val="00A7672A"/>
    <w:rsid w:val="00A76D16"/>
    <w:rsid w:val="00A83EFA"/>
    <w:rsid w:val="00A847B6"/>
    <w:rsid w:val="00A879C5"/>
    <w:rsid w:val="00AA1261"/>
    <w:rsid w:val="00AA78C6"/>
    <w:rsid w:val="00AC0406"/>
    <w:rsid w:val="00AD10ED"/>
    <w:rsid w:val="00AD2A42"/>
    <w:rsid w:val="00AD702D"/>
    <w:rsid w:val="00AE2B1B"/>
    <w:rsid w:val="00AF2197"/>
    <w:rsid w:val="00AF7E2F"/>
    <w:rsid w:val="00B04376"/>
    <w:rsid w:val="00B11CFE"/>
    <w:rsid w:val="00B133AD"/>
    <w:rsid w:val="00B26207"/>
    <w:rsid w:val="00B2734F"/>
    <w:rsid w:val="00B37FB8"/>
    <w:rsid w:val="00B422A5"/>
    <w:rsid w:val="00B56B5C"/>
    <w:rsid w:val="00B57D65"/>
    <w:rsid w:val="00B60211"/>
    <w:rsid w:val="00B61569"/>
    <w:rsid w:val="00B617DA"/>
    <w:rsid w:val="00B70533"/>
    <w:rsid w:val="00B71DD7"/>
    <w:rsid w:val="00B71E27"/>
    <w:rsid w:val="00B77045"/>
    <w:rsid w:val="00B830C0"/>
    <w:rsid w:val="00B874F1"/>
    <w:rsid w:val="00BB60E0"/>
    <w:rsid w:val="00BB79D0"/>
    <w:rsid w:val="00BC4329"/>
    <w:rsid w:val="00BC5EA7"/>
    <w:rsid w:val="00BC63D8"/>
    <w:rsid w:val="00BD56E5"/>
    <w:rsid w:val="00BD735F"/>
    <w:rsid w:val="00C01B4F"/>
    <w:rsid w:val="00C01CA7"/>
    <w:rsid w:val="00C02242"/>
    <w:rsid w:val="00C16860"/>
    <w:rsid w:val="00C213CC"/>
    <w:rsid w:val="00C3068F"/>
    <w:rsid w:val="00C371AF"/>
    <w:rsid w:val="00C37CCC"/>
    <w:rsid w:val="00C46A76"/>
    <w:rsid w:val="00C46C08"/>
    <w:rsid w:val="00C547D7"/>
    <w:rsid w:val="00C56210"/>
    <w:rsid w:val="00C571B3"/>
    <w:rsid w:val="00C65775"/>
    <w:rsid w:val="00C67210"/>
    <w:rsid w:val="00C702C3"/>
    <w:rsid w:val="00C71633"/>
    <w:rsid w:val="00C77B3E"/>
    <w:rsid w:val="00CA2932"/>
    <w:rsid w:val="00CB2470"/>
    <w:rsid w:val="00CB2B1B"/>
    <w:rsid w:val="00CB4A88"/>
    <w:rsid w:val="00CF7CA3"/>
    <w:rsid w:val="00D10F3B"/>
    <w:rsid w:val="00D17A22"/>
    <w:rsid w:val="00D205B9"/>
    <w:rsid w:val="00D21C00"/>
    <w:rsid w:val="00D35484"/>
    <w:rsid w:val="00D37B49"/>
    <w:rsid w:val="00D405FB"/>
    <w:rsid w:val="00D43072"/>
    <w:rsid w:val="00D46707"/>
    <w:rsid w:val="00D6132A"/>
    <w:rsid w:val="00D64BA4"/>
    <w:rsid w:val="00D7421A"/>
    <w:rsid w:val="00D7644E"/>
    <w:rsid w:val="00DA391E"/>
    <w:rsid w:val="00DB37ED"/>
    <w:rsid w:val="00DC05CD"/>
    <w:rsid w:val="00DD1E85"/>
    <w:rsid w:val="00DD3E55"/>
    <w:rsid w:val="00DD4D6E"/>
    <w:rsid w:val="00DD790D"/>
    <w:rsid w:val="00DE289F"/>
    <w:rsid w:val="00DE29AC"/>
    <w:rsid w:val="00DF0054"/>
    <w:rsid w:val="00DF0635"/>
    <w:rsid w:val="00DF2EC1"/>
    <w:rsid w:val="00DF4A87"/>
    <w:rsid w:val="00E04D2A"/>
    <w:rsid w:val="00E15EB1"/>
    <w:rsid w:val="00E21FB5"/>
    <w:rsid w:val="00E3250C"/>
    <w:rsid w:val="00E35478"/>
    <w:rsid w:val="00E46035"/>
    <w:rsid w:val="00E46C2A"/>
    <w:rsid w:val="00E5271F"/>
    <w:rsid w:val="00E53075"/>
    <w:rsid w:val="00E645D2"/>
    <w:rsid w:val="00E72A5D"/>
    <w:rsid w:val="00E73C0C"/>
    <w:rsid w:val="00E85A56"/>
    <w:rsid w:val="00E92ED6"/>
    <w:rsid w:val="00E95433"/>
    <w:rsid w:val="00EA1658"/>
    <w:rsid w:val="00EA7B97"/>
    <w:rsid w:val="00EB740D"/>
    <w:rsid w:val="00EC6CD5"/>
    <w:rsid w:val="00EC7CF5"/>
    <w:rsid w:val="00ED121F"/>
    <w:rsid w:val="00ED1E95"/>
    <w:rsid w:val="00ED2D26"/>
    <w:rsid w:val="00EE0F91"/>
    <w:rsid w:val="00EF7BB9"/>
    <w:rsid w:val="00F117B1"/>
    <w:rsid w:val="00F30767"/>
    <w:rsid w:val="00F3399F"/>
    <w:rsid w:val="00F33FF2"/>
    <w:rsid w:val="00F366B5"/>
    <w:rsid w:val="00F45C9D"/>
    <w:rsid w:val="00F508F2"/>
    <w:rsid w:val="00F544D6"/>
    <w:rsid w:val="00F60957"/>
    <w:rsid w:val="00F60A0E"/>
    <w:rsid w:val="00F75679"/>
    <w:rsid w:val="00F84F36"/>
    <w:rsid w:val="00F8584F"/>
    <w:rsid w:val="00F877F2"/>
    <w:rsid w:val="00F915C1"/>
    <w:rsid w:val="00F93F66"/>
    <w:rsid w:val="00F961B4"/>
    <w:rsid w:val="00FB17EF"/>
    <w:rsid w:val="00FB1E88"/>
    <w:rsid w:val="00FB2261"/>
    <w:rsid w:val="00FB2991"/>
    <w:rsid w:val="00FB336E"/>
    <w:rsid w:val="00FB581D"/>
    <w:rsid w:val="00FC23C4"/>
    <w:rsid w:val="00FC5C5A"/>
    <w:rsid w:val="00FF2F17"/>
    <w:rsid w:val="00FF35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074"/>
    <w:rPr>
      <w:rFonts w:ascii="Tahoma" w:hAnsi="Tahoma" w:cs="Tahoma"/>
      <w:sz w:val="16"/>
      <w:szCs w:val="16"/>
    </w:rPr>
  </w:style>
  <w:style w:type="character" w:customStyle="1" w:styleId="BalloonTextChar">
    <w:name w:val="Balloon Text Char"/>
    <w:basedOn w:val="DefaultParagraphFont"/>
    <w:link w:val="BalloonText"/>
    <w:uiPriority w:val="99"/>
    <w:semiHidden/>
    <w:rsid w:val="00444074"/>
    <w:rPr>
      <w:rFonts w:ascii="Tahoma" w:hAnsi="Tahoma" w:cs="Tahoma"/>
      <w:sz w:val="16"/>
      <w:szCs w:val="16"/>
    </w:rPr>
  </w:style>
  <w:style w:type="paragraph" w:styleId="ListParagraph">
    <w:name w:val="List Paragraph"/>
    <w:basedOn w:val="Normal"/>
    <w:uiPriority w:val="34"/>
    <w:qFormat/>
    <w:rsid w:val="00570CBD"/>
    <w:pPr>
      <w:ind w:left="720"/>
      <w:contextualSpacing/>
    </w:pPr>
  </w:style>
  <w:style w:type="paragraph" w:styleId="Header">
    <w:name w:val="header"/>
    <w:basedOn w:val="Normal"/>
    <w:link w:val="HeaderChar"/>
    <w:uiPriority w:val="99"/>
    <w:semiHidden/>
    <w:unhideWhenUsed/>
    <w:rsid w:val="00FB2261"/>
    <w:pPr>
      <w:tabs>
        <w:tab w:val="center" w:pos="4513"/>
        <w:tab w:val="right" w:pos="9026"/>
      </w:tabs>
    </w:pPr>
  </w:style>
  <w:style w:type="character" w:customStyle="1" w:styleId="HeaderChar">
    <w:name w:val="Header Char"/>
    <w:basedOn w:val="DefaultParagraphFont"/>
    <w:link w:val="Header"/>
    <w:uiPriority w:val="99"/>
    <w:semiHidden/>
    <w:rsid w:val="00FB2261"/>
  </w:style>
  <w:style w:type="paragraph" w:styleId="Footer">
    <w:name w:val="footer"/>
    <w:basedOn w:val="Normal"/>
    <w:link w:val="FooterChar"/>
    <w:uiPriority w:val="99"/>
    <w:unhideWhenUsed/>
    <w:rsid w:val="00FB2261"/>
    <w:pPr>
      <w:tabs>
        <w:tab w:val="center" w:pos="4513"/>
        <w:tab w:val="right" w:pos="9026"/>
      </w:tabs>
    </w:pPr>
  </w:style>
  <w:style w:type="character" w:customStyle="1" w:styleId="FooterChar">
    <w:name w:val="Footer Char"/>
    <w:basedOn w:val="DefaultParagraphFont"/>
    <w:link w:val="Footer"/>
    <w:uiPriority w:val="99"/>
    <w:rsid w:val="00FB2261"/>
  </w:style>
  <w:style w:type="character" w:styleId="CommentReference">
    <w:name w:val="annotation reference"/>
    <w:basedOn w:val="DefaultParagraphFont"/>
    <w:uiPriority w:val="99"/>
    <w:semiHidden/>
    <w:unhideWhenUsed/>
    <w:rsid w:val="00F8584F"/>
    <w:rPr>
      <w:sz w:val="16"/>
      <w:szCs w:val="16"/>
    </w:rPr>
  </w:style>
  <w:style w:type="paragraph" w:styleId="CommentText">
    <w:name w:val="annotation text"/>
    <w:basedOn w:val="Normal"/>
    <w:link w:val="CommentTextChar"/>
    <w:uiPriority w:val="99"/>
    <w:semiHidden/>
    <w:unhideWhenUsed/>
    <w:rsid w:val="00F8584F"/>
    <w:rPr>
      <w:sz w:val="20"/>
      <w:szCs w:val="20"/>
    </w:rPr>
  </w:style>
  <w:style w:type="character" w:customStyle="1" w:styleId="CommentTextChar">
    <w:name w:val="Comment Text Char"/>
    <w:basedOn w:val="DefaultParagraphFont"/>
    <w:link w:val="CommentText"/>
    <w:uiPriority w:val="99"/>
    <w:semiHidden/>
    <w:rsid w:val="00F8584F"/>
    <w:rPr>
      <w:sz w:val="20"/>
      <w:szCs w:val="20"/>
    </w:rPr>
  </w:style>
  <w:style w:type="paragraph" w:styleId="CommentSubject">
    <w:name w:val="annotation subject"/>
    <w:basedOn w:val="CommentText"/>
    <w:next w:val="CommentText"/>
    <w:link w:val="CommentSubjectChar"/>
    <w:uiPriority w:val="99"/>
    <w:semiHidden/>
    <w:unhideWhenUsed/>
    <w:rsid w:val="00F8584F"/>
    <w:rPr>
      <w:b/>
      <w:bCs/>
    </w:rPr>
  </w:style>
  <w:style w:type="character" w:customStyle="1" w:styleId="CommentSubjectChar">
    <w:name w:val="Comment Subject Char"/>
    <w:basedOn w:val="CommentTextChar"/>
    <w:link w:val="CommentSubject"/>
    <w:uiPriority w:val="99"/>
    <w:semiHidden/>
    <w:rsid w:val="00F8584F"/>
    <w:rPr>
      <w:b/>
      <w:bCs/>
    </w:rPr>
  </w:style>
  <w:style w:type="table" w:styleId="TableGrid">
    <w:name w:val="Table Grid"/>
    <w:basedOn w:val="TableNormal"/>
    <w:uiPriority w:val="59"/>
    <w:rsid w:val="00304F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984301">
      <w:bodyDiv w:val="1"/>
      <w:marLeft w:val="0"/>
      <w:marRight w:val="0"/>
      <w:marTop w:val="0"/>
      <w:marBottom w:val="0"/>
      <w:divBdr>
        <w:top w:val="none" w:sz="0" w:space="0" w:color="auto"/>
        <w:left w:val="none" w:sz="0" w:space="0" w:color="auto"/>
        <w:bottom w:val="none" w:sz="0" w:space="0" w:color="auto"/>
        <w:right w:val="none" w:sz="0" w:space="0" w:color="auto"/>
      </w:divBdr>
    </w:div>
    <w:div w:id="117263165">
      <w:bodyDiv w:val="1"/>
      <w:marLeft w:val="0"/>
      <w:marRight w:val="0"/>
      <w:marTop w:val="0"/>
      <w:marBottom w:val="0"/>
      <w:divBdr>
        <w:top w:val="none" w:sz="0" w:space="0" w:color="auto"/>
        <w:left w:val="none" w:sz="0" w:space="0" w:color="auto"/>
        <w:bottom w:val="none" w:sz="0" w:space="0" w:color="auto"/>
        <w:right w:val="none" w:sz="0" w:space="0" w:color="auto"/>
      </w:divBdr>
    </w:div>
    <w:div w:id="158159615">
      <w:bodyDiv w:val="1"/>
      <w:marLeft w:val="0"/>
      <w:marRight w:val="0"/>
      <w:marTop w:val="0"/>
      <w:marBottom w:val="0"/>
      <w:divBdr>
        <w:top w:val="none" w:sz="0" w:space="0" w:color="auto"/>
        <w:left w:val="none" w:sz="0" w:space="0" w:color="auto"/>
        <w:bottom w:val="none" w:sz="0" w:space="0" w:color="auto"/>
        <w:right w:val="none" w:sz="0" w:space="0" w:color="auto"/>
      </w:divBdr>
    </w:div>
    <w:div w:id="207567602">
      <w:bodyDiv w:val="1"/>
      <w:marLeft w:val="0"/>
      <w:marRight w:val="0"/>
      <w:marTop w:val="0"/>
      <w:marBottom w:val="0"/>
      <w:divBdr>
        <w:top w:val="none" w:sz="0" w:space="0" w:color="auto"/>
        <w:left w:val="none" w:sz="0" w:space="0" w:color="auto"/>
        <w:bottom w:val="none" w:sz="0" w:space="0" w:color="auto"/>
        <w:right w:val="none" w:sz="0" w:space="0" w:color="auto"/>
      </w:divBdr>
    </w:div>
    <w:div w:id="243612751">
      <w:bodyDiv w:val="1"/>
      <w:marLeft w:val="0"/>
      <w:marRight w:val="0"/>
      <w:marTop w:val="0"/>
      <w:marBottom w:val="0"/>
      <w:divBdr>
        <w:top w:val="none" w:sz="0" w:space="0" w:color="auto"/>
        <w:left w:val="none" w:sz="0" w:space="0" w:color="auto"/>
        <w:bottom w:val="none" w:sz="0" w:space="0" w:color="auto"/>
        <w:right w:val="none" w:sz="0" w:space="0" w:color="auto"/>
      </w:divBdr>
    </w:div>
    <w:div w:id="332226773">
      <w:bodyDiv w:val="1"/>
      <w:marLeft w:val="0"/>
      <w:marRight w:val="0"/>
      <w:marTop w:val="0"/>
      <w:marBottom w:val="0"/>
      <w:divBdr>
        <w:top w:val="none" w:sz="0" w:space="0" w:color="auto"/>
        <w:left w:val="none" w:sz="0" w:space="0" w:color="auto"/>
        <w:bottom w:val="none" w:sz="0" w:space="0" w:color="auto"/>
        <w:right w:val="none" w:sz="0" w:space="0" w:color="auto"/>
      </w:divBdr>
    </w:div>
    <w:div w:id="366417514">
      <w:bodyDiv w:val="1"/>
      <w:marLeft w:val="0"/>
      <w:marRight w:val="0"/>
      <w:marTop w:val="0"/>
      <w:marBottom w:val="0"/>
      <w:divBdr>
        <w:top w:val="none" w:sz="0" w:space="0" w:color="auto"/>
        <w:left w:val="none" w:sz="0" w:space="0" w:color="auto"/>
        <w:bottom w:val="none" w:sz="0" w:space="0" w:color="auto"/>
        <w:right w:val="none" w:sz="0" w:space="0" w:color="auto"/>
      </w:divBdr>
    </w:div>
    <w:div w:id="413357518">
      <w:bodyDiv w:val="1"/>
      <w:marLeft w:val="0"/>
      <w:marRight w:val="0"/>
      <w:marTop w:val="0"/>
      <w:marBottom w:val="0"/>
      <w:divBdr>
        <w:top w:val="none" w:sz="0" w:space="0" w:color="auto"/>
        <w:left w:val="none" w:sz="0" w:space="0" w:color="auto"/>
        <w:bottom w:val="none" w:sz="0" w:space="0" w:color="auto"/>
        <w:right w:val="none" w:sz="0" w:space="0" w:color="auto"/>
      </w:divBdr>
    </w:div>
    <w:div w:id="439763790">
      <w:bodyDiv w:val="1"/>
      <w:marLeft w:val="0"/>
      <w:marRight w:val="0"/>
      <w:marTop w:val="0"/>
      <w:marBottom w:val="0"/>
      <w:divBdr>
        <w:top w:val="none" w:sz="0" w:space="0" w:color="auto"/>
        <w:left w:val="none" w:sz="0" w:space="0" w:color="auto"/>
        <w:bottom w:val="none" w:sz="0" w:space="0" w:color="auto"/>
        <w:right w:val="none" w:sz="0" w:space="0" w:color="auto"/>
      </w:divBdr>
    </w:div>
    <w:div w:id="458644920">
      <w:bodyDiv w:val="1"/>
      <w:marLeft w:val="0"/>
      <w:marRight w:val="0"/>
      <w:marTop w:val="0"/>
      <w:marBottom w:val="0"/>
      <w:divBdr>
        <w:top w:val="none" w:sz="0" w:space="0" w:color="auto"/>
        <w:left w:val="none" w:sz="0" w:space="0" w:color="auto"/>
        <w:bottom w:val="none" w:sz="0" w:space="0" w:color="auto"/>
        <w:right w:val="none" w:sz="0" w:space="0" w:color="auto"/>
      </w:divBdr>
    </w:div>
    <w:div w:id="465583459">
      <w:bodyDiv w:val="1"/>
      <w:marLeft w:val="0"/>
      <w:marRight w:val="0"/>
      <w:marTop w:val="0"/>
      <w:marBottom w:val="0"/>
      <w:divBdr>
        <w:top w:val="none" w:sz="0" w:space="0" w:color="auto"/>
        <w:left w:val="none" w:sz="0" w:space="0" w:color="auto"/>
        <w:bottom w:val="none" w:sz="0" w:space="0" w:color="auto"/>
        <w:right w:val="none" w:sz="0" w:space="0" w:color="auto"/>
      </w:divBdr>
    </w:div>
    <w:div w:id="503477298">
      <w:bodyDiv w:val="1"/>
      <w:marLeft w:val="0"/>
      <w:marRight w:val="0"/>
      <w:marTop w:val="0"/>
      <w:marBottom w:val="0"/>
      <w:divBdr>
        <w:top w:val="none" w:sz="0" w:space="0" w:color="auto"/>
        <w:left w:val="none" w:sz="0" w:space="0" w:color="auto"/>
        <w:bottom w:val="none" w:sz="0" w:space="0" w:color="auto"/>
        <w:right w:val="none" w:sz="0" w:space="0" w:color="auto"/>
      </w:divBdr>
    </w:div>
    <w:div w:id="531573889">
      <w:bodyDiv w:val="1"/>
      <w:marLeft w:val="0"/>
      <w:marRight w:val="0"/>
      <w:marTop w:val="0"/>
      <w:marBottom w:val="0"/>
      <w:divBdr>
        <w:top w:val="none" w:sz="0" w:space="0" w:color="auto"/>
        <w:left w:val="none" w:sz="0" w:space="0" w:color="auto"/>
        <w:bottom w:val="none" w:sz="0" w:space="0" w:color="auto"/>
        <w:right w:val="none" w:sz="0" w:space="0" w:color="auto"/>
      </w:divBdr>
    </w:div>
    <w:div w:id="636688177">
      <w:bodyDiv w:val="1"/>
      <w:marLeft w:val="0"/>
      <w:marRight w:val="0"/>
      <w:marTop w:val="0"/>
      <w:marBottom w:val="0"/>
      <w:divBdr>
        <w:top w:val="none" w:sz="0" w:space="0" w:color="auto"/>
        <w:left w:val="none" w:sz="0" w:space="0" w:color="auto"/>
        <w:bottom w:val="none" w:sz="0" w:space="0" w:color="auto"/>
        <w:right w:val="none" w:sz="0" w:space="0" w:color="auto"/>
      </w:divBdr>
    </w:div>
    <w:div w:id="677122242">
      <w:bodyDiv w:val="1"/>
      <w:marLeft w:val="0"/>
      <w:marRight w:val="0"/>
      <w:marTop w:val="0"/>
      <w:marBottom w:val="0"/>
      <w:divBdr>
        <w:top w:val="none" w:sz="0" w:space="0" w:color="auto"/>
        <w:left w:val="none" w:sz="0" w:space="0" w:color="auto"/>
        <w:bottom w:val="none" w:sz="0" w:space="0" w:color="auto"/>
        <w:right w:val="none" w:sz="0" w:space="0" w:color="auto"/>
      </w:divBdr>
    </w:div>
    <w:div w:id="842356837">
      <w:bodyDiv w:val="1"/>
      <w:marLeft w:val="0"/>
      <w:marRight w:val="0"/>
      <w:marTop w:val="0"/>
      <w:marBottom w:val="0"/>
      <w:divBdr>
        <w:top w:val="none" w:sz="0" w:space="0" w:color="auto"/>
        <w:left w:val="none" w:sz="0" w:space="0" w:color="auto"/>
        <w:bottom w:val="none" w:sz="0" w:space="0" w:color="auto"/>
        <w:right w:val="none" w:sz="0" w:space="0" w:color="auto"/>
      </w:divBdr>
    </w:div>
    <w:div w:id="860096328">
      <w:bodyDiv w:val="1"/>
      <w:marLeft w:val="0"/>
      <w:marRight w:val="0"/>
      <w:marTop w:val="0"/>
      <w:marBottom w:val="0"/>
      <w:divBdr>
        <w:top w:val="none" w:sz="0" w:space="0" w:color="auto"/>
        <w:left w:val="none" w:sz="0" w:space="0" w:color="auto"/>
        <w:bottom w:val="none" w:sz="0" w:space="0" w:color="auto"/>
        <w:right w:val="none" w:sz="0" w:space="0" w:color="auto"/>
      </w:divBdr>
    </w:div>
    <w:div w:id="885411722">
      <w:bodyDiv w:val="1"/>
      <w:marLeft w:val="0"/>
      <w:marRight w:val="0"/>
      <w:marTop w:val="0"/>
      <w:marBottom w:val="0"/>
      <w:divBdr>
        <w:top w:val="none" w:sz="0" w:space="0" w:color="auto"/>
        <w:left w:val="none" w:sz="0" w:space="0" w:color="auto"/>
        <w:bottom w:val="none" w:sz="0" w:space="0" w:color="auto"/>
        <w:right w:val="none" w:sz="0" w:space="0" w:color="auto"/>
      </w:divBdr>
    </w:div>
    <w:div w:id="951982236">
      <w:bodyDiv w:val="1"/>
      <w:marLeft w:val="0"/>
      <w:marRight w:val="0"/>
      <w:marTop w:val="0"/>
      <w:marBottom w:val="0"/>
      <w:divBdr>
        <w:top w:val="none" w:sz="0" w:space="0" w:color="auto"/>
        <w:left w:val="none" w:sz="0" w:space="0" w:color="auto"/>
        <w:bottom w:val="none" w:sz="0" w:space="0" w:color="auto"/>
        <w:right w:val="none" w:sz="0" w:space="0" w:color="auto"/>
      </w:divBdr>
    </w:div>
    <w:div w:id="986939170">
      <w:bodyDiv w:val="1"/>
      <w:marLeft w:val="0"/>
      <w:marRight w:val="0"/>
      <w:marTop w:val="0"/>
      <w:marBottom w:val="0"/>
      <w:divBdr>
        <w:top w:val="none" w:sz="0" w:space="0" w:color="auto"/>
        <w:left w:val="none" w:sz="0" w:space="0" w:color="auto"/>
        <w:bottom w:val="none" w:sz="0" w:space="0" w:color="auto"/>
        <w:right w:val="none" w:sz="0" w:space="0" w:color="auto"/>
      </w:divBdr>
    </w:div>
    <w:div w:id="992180425">
      <w:bodyDiv w:val="1"/>
      <w:marLeft w:val="0"/>
      <w:marRight w:val="0"/>
      <w:marTop w:val="0"/>
      <w:marBottom w:val="0"/>
      <w:divBdr>
        <w:top w:val="none" w:sz="0" w:space="0" w:color="auto"/>
        <w:left w:val="none" w:sz="0" w:space="0" w:color="auto"/>
        <w:bottom w:val="none" w:sz="0" w:space="0" w:color="auto"/>
        <w:right w:val="none" w:sz="0" w:space="0" w:color="auto"/>
      </w:divBdr>
    </w:div>
    <w:div w:id="1022242029">
      <w:bodyDiv w:val="1"/>
      <w:marLeft w:val="0"/>
      <w:marRight w:val="0"/>
      <w:marTop w:val="0"/>
      <w:marBottom w:val="0"/>
      <w:divBdr>
        <w:top w:val="none" w:sz="0" w:space="0" w:color="auto"/>
        <w:left w:val="none" w:sz="0" w:space="0" w:color="auto"/>
        <w:bottom w:val="none" w:sz="0" w:space="0" w:color="auto"/>
        <w:right w:val="none" w:sz="0" w:space="0" w:color="auto"/>
      </w:divBdr>
    </w:div>
    <w:div w:id="1034382133">
      <w:bodyDiv w:val="1"/>
      <w:marLeft w:val="0"/>
      <w:marRight w:val="0"/>
      <w:marTop w:val="0"/>
      <w:marBottom w:val="0"/>
      <w:divBdr>
        <w:top w:val="none" w:sz="0" w:space="0" w:color="auto"/>
        <w:left w:val="none" w:sz="0" w:space="0" w:color="auto"/>
        <w:bottom w:val="none" w:sz="0" w:space="0" w:color="auto"/>
        <w:right w:val="none" w:sz="0" w:space="0" w:color="auto"/>
      </w:divBdr>
    </w:div>
    <w:div w:id="1084186143">
      <w:bodyDiv w:val="1"/>
      <w:marLeft w:val="0"/>
      <w:marRight w:val="0"/>
      <w:marTop w:val="0"/>
      <w:marBottom w:val="0"/>
      <w:divBdr>
        <w:top w:val="none" w:sz="0" w:space="0" w:color="auto"/>
        <w:left w:val="none" w:sz="0" w:space="0" w:color="auto"/>
        <w:bottom w:val="none" w:sz="0" w:space="0" w:color="auto"/>
        <w:right w:val="none" w:sz="0" w:space="0" w:color="auto"/>
      </w:divBdr>
    </w:div>
    <w:div w:id="1091663739">
      <w:bodyDiv w:val="1"/>
      <w:marLeft w:val="0"/>
      <w:marRight w:val="0"/>
      <w:marTop w:val="0"/>
      <w:marBottom w:val="0"/>
      <w:divBdr>
        <w:top w:val="none" w:sz="0" w:space="0" w:color="auto"/>
        <w:left w:val="none" w:sz="0" w:space="0" w:color="auto"/>
        <w:bottom w:val="none" w:sz="0" w:space="0" w:color="auto"/>
        <w:right w:val="none" w:sz="0" w:space="0" w:color="auto"/>
      </w:divBdr>
    </w:div>
    <w:div w:id="1100419216">
      <w:bodyDiv w:val="1"/>
      <w:marLeft w:val="0"/>
      <w:marRight w:val="0"/>
      <w:marTop w:val="0"/>
      <w:marBottom w:val="0"/>
      <w:divBdr>
        <w:top w:val="none" w:sz="0" w:space="0" w:color="auto"/>
        <w:left w:val="none" w:sz="0" w:space="0" w:color="auto"/>
        <w:bottom w:val="none" w:sz="0" w:space="0" w:color="auto"/>
        <w:right w:val="none" w:sz="0" w:space="0" w:color="auto"/>
      </w:divBdr>
    </w:div>
    <w:div w:id="1184906764">
      <w:bodyDiv w:val="1"/>
      <w:marLeft w:val="0"/>
      <w:marRight w:val="0"/>
      <w:marTop w:val="0"/>
      <w:marBottom w:val="0"/>
      <w:divBdr>
        <w:top w:val="none" w:sz="0" w:space="0" w:color="auto"/>
        <w:left w:val="none" w:sz="0" w:space="0" w:color="auto"/>
        <w:bottom w:val="none" w:sz="0" w:space="0" w:color="auto"/>
        <w:right w:val="none" w:sz="0" w:space="0" w:color="auto"/>
      </w:divBdr>
    </w:div>
    <w:div w:id="1207448091">
      <w:bodyDiv w:val="1"/>
      <w:marLeft w:val="0"/>
      <w:marRight w:val="0"/>
      <w:marTop w:val="0"/>
      <w:marBottom w:val="0"/>
      <w:divBdr>
        <w:top w:val="none" w:sz="0" w:space="0" w:color="auto"/>
        <w:left w:val="none" w:sz="0" w:space="0" w:color="auto"/>
        <w:bottom w:val="none" w:sz="0" w:space="0" w:color="auto"/>
        <w:right w:val="none" w:sz="0" w:space="0" w:color="auto"/>
      </w:divBdr>
    </w:div>
    <w:div w:id="1222712329">
      <w:bodyDiv w:val="1"/>
      <w:marLeft w:val="0"/>
      <w:marRight w:val="0"/>
      <w:marTop w:val="0"/>
      <w:marBottom w:val="0"/>
      <w:divBdr>
        <w:top w:val="none" w:sz="0" w:space="0" w:color="auto"/>
        <w:left w:val="none" w:sz="0" w:space="0" w:color="auto"/>
        <w:bottom w:val="none" w:sz="0" w:space="0" w:color="auto"/>
        <w:right w:val="none" w:sz="0" w:space="0" w:color="auto"/>
      </w:divBdr>
    </w:div>
    <w:div w:id="1283877116">
      <w:bodyDiv w:val="1"/>
      <w:marLeft w:val="0"/>
      <w:marRight w:val="0"/>
      <w:marTop w:val="0"/>
      <w:marBottom w:val="0"/>
      <w:divBdr>
        <w:top w:val="none" w:sz="0" w:space="0" w:color="auto"/>
        <w:left w:val="none" w:sz="0" w:space="0" w:color="auto"/>
        <w:bottom w:val="none" w:sz="0" w:space="0" w:color="auto"/>
        <w:right w:val="none" w:sz="0" w:space="0" w:color="auto"/>
      </w:divBdr>
    </w:div>
    <w:div w:id="1308708412">
      <w:bodyDiv w:val="1"/>
      <w:marLeft w:val="0"/>
      <w:marRight w:val="0"/>
      <w:marTop w:val="0"/>
      <w:marBottom w:val="0"/>
      <w:divBdr>
        <w:top w:val="none" w:sz="0" w:space="0" w:color="auto"/>
        <w:left w:val="none" w:sz="0" w:space="0" w:color="auto"/>
        <w:bottom w:val="none" w:sz="0" w:space="0" w:color="auto"/>
        <w:right w:val="none" w:sz="0" w:space="0" w:color="auto"/>
      </w:divBdr>
    </w:div>
    <w:div w:id="1350064370">
      <w:bodyDiv w:val="1"/>
      <w:marLeft w:val="0"/>
      <w:marRight w:val="0"/>
      <w:marTop w:val="0"/>
      <w:marBottom w:val="0"/>
      <w:divBdr>
        <w:top w:val="none" w:sz="0" w:space="0" w:color="auto"/>
        <w:left w:val="none" w:sz="0" w:space="0" w:color="auto"/>
        <w:bottom w:val="none" w:sz="0" w:space="0" w:color="auto"/>
        <w:right w:val="none" w:sz="0" w:space="0" w:color="auto"/>
      </w:divBdr>
    </w:div>
    <w:div w:id="1453986184">
      <w:bodyDiv w:val="1"/>
      <w:marLeft w:val="0"/>
      <w:marRight w:val="0"/>
      <w:marTop w:val="0"/>
      <w:marBottom w:val="0"/>
      <w:divBdr>
        <w:top w:val="none" w:sz="0" w:space="0" w:color="auto"/>
        <w:left w:val="none" w:sz="0" w:space="0" w:color="auto"/>
        <w:bottom w:val="none" w:sz="0" w:space="0" w:color="auto"/>
        <w:right w:val="none" w:sz="0" w:space="0" w:color="auto"/>
      </w:divBdr>
    </w:div>
    <w:div w:id="1518084391">
      <w:bodyDiv w:val="1"/>
      <w:marLeft w:val="0"/>
      <w:marRight w:val="0"/>
      <w:marTop w:val="0"/>
      <w:marBottom w:val="0"/>
      <w:divBdr>
        <w:top w:val="none" w:sz="0" w:space="0" w:color="auto"/>
        <w:left w:val="none" w:sz="0" w:space="0" w:color="auto"/>
        <w:bottom w:val="none" w:sz="0" w:space="0" w:color="auto"/>
        <w:right w:val="none" w:sz="0" w:space="0" w:color="auto"/>
      </w:divBdr>
    </w:div>
    <w:div w:id="1576741780">
      <w:bodyDiv w:val="1"/>
      <w:marLeft w:val="0"/>
      <w:marRight w:val="0"/>
      <w:marTop w:val="0"/>
      <w:marBottom w:val="0"/>
      <w:divBdr>
        <w:top w:val="none" w:sz="0" w:space="0" w:color="auto"/>
        <w:left w:val="none" w:sz="0" w:space="0" w:color="auto"/>
        <w:bottom w:val="none" w:sz="0" w:space="0" w:color="auto"/>
        <w:right w:val="none" w:sz="0" w:space="0" w:color="auto"/>
      </w:divBdr>
    </w:div>
    <w:div w:id="1598098456">
      <w:bodyDiv w:val="1"/>
      <w:marLeft w:val="0"/>
      <w:marRight w:val="0"/>
      <w:marTop w:val="0"/>
      <w:marBottom w:val="0"/>
      <w:divBdr>
        <w:top w:val="none" w:sz="0" w:space="0" w:color="auto"/>
        <w:left w:val="none" w:sz="0" w:space="0" w:color="auto"/>
        <w:bottom w:val="none" w:sz="0" w:space="0" w:color="auto"/>
        <w:right w:val="none" w:sz="0" w:space="0" w:color="auto"/>
      </w:divBdr>
    </w:div>
    <w:div w:id="1725517699">
      <w:bodyDiv w:val="1"/>
      <w:marLeft w:val="0"/>
      <w:marRight w:val="0"/>
      <w:marTop w:val="0"/>
      <w:marBottom w:val="0"/>
      <w:divBdr>
        <w:top w:val="none" w:sz="0" w:space="0" w:color="auto"/>
        <w:left w:val="none" w:sz="0" w:space="0" w:color="auto"/>
        <w:bottom w:val="none" w:sz="0" w:space="0" w:color="auto"/>
        <w:right w:val="none" w:sz="0" w:space="0" w:color="auto"/>
      </w:divBdr>
    </w:div>
    <w:div w:id="1830435666">
      <w:bodyDiv w:val="1"/>
      <w:marLeft w:val="0"/>
      <w:marRight w:val="0"/>
      <w:marTop w:val="0"/>
      <w:marBottom w:val="0"/>
      <w:divBdr>
        <w:top w:val="none" w:sz="0" w:space="0" w:color="auto"/>
        <w:left w:val="none" w:sz="0" w:space="0" w:color="auto"/>
        <w:bottom w:val="none" w:sz="0" w:space="0" w:color="auto"/>
        <w:right w:val="none" w:sz="0" w:space="0" w:color="auto"/>
      </w:divBdr>
    </w:div>
    <w:div w:id="1894460807">
      <w:bodyDiv w:val="1"/>
      <w:marLeft w:val="0"/>
      <w:marRight w:val="0"/>
      <w:marTop w:val="0"/>
      <w:marBottom w:val="0"/>
      <w:divBdr>
        <w:top w:val="none" w:sz="0" w:space="0" w:color="auto"/>
        <w:left w:val="none" w:sz="0" w:space="0" w:color="auto"/>
        <w:bottom w:val="none" w:sz="0" w:space="0" w:color="auto"/>
        <w:right w:val="none" w:sz="0" w:space="0" w:color="auto"/>
      </w:divBdr>
    </w:div>
    <w:div w:id="1901818388">
      <w:bodyDiv w:val="1"/>
      <w:marLeft w:val="0"/>
      <w:marRight w:val="0"/>
      <w:marTop w:val="0"/>
      <w:marBottom w:val="0"/>
      <w:divBdr>
        <w:top w:val="none" w:sz="0" w:space="0" w:color="auto"/>
        <w:left w:val="none" w:sz="0" w:space="0" w:color="auto"/>
        <w:bottom w:val="none" w:sz="0" w:space="0" w:color="auto"/>
        <w:right w:val="none" w:sz="0" w:space="0" w:color="auto"/>
      </w:divBdr>
    </w:div>
    <w:div w:id="1902668298">
      <w:bodyDiv w:val="1"/>
      <w:marLeft w:val="0"/>
      <w:marRight w:val="0"/>
      <w:marTop w:val="0"/>
      <w:marBottom w:val="0"/>
      <w:divBdr>
        <w:top w:val="none" w:sz="0" w:space="0" w:color="auto"/>
        <w:left w:val="none" w:sz="0" w:space="0" w:color="auto"/>
        <w:bottom w:val="none" w:sz="0" w:space="0" w:color="auto"/>
        <w:right w:val="none" w:sz="0" w:space="0" w:color="auto"/>
      </w:divBdr>
    </w:div>
    <w:div w:id="1928227169">
      <w:bodyDiv w:val="1"/>
      <w:marLeft w:val="0"/>
      <w:marRight w:val="0"/>
      <w:marTop w:val="0"/>
      <w:marBottom w:val="0"/>
      <w:divBdr>
        <w:top w:val="none" w:sz="0" w:space="0" w:color="auto"/>
        <w:left w:val="none" w:sz="0" w:space="0" w:color="auto"/>
        <w:bottom w:val="none" w:sz="0" w:space="0" w:color="auto"/>
        <w:right w:val="none" w:sz="0" w:space="0" w:color="auto"/>
      </w:divBdr>
    </w:div>
    <w:div w:id="2004505060">
      <w:bodyDiv w:val="1"/>
      <w:marLeft w:val="0"/>
      <w:marRight w:val="0"/>
      <w:marTop w:val="0"/>
      <w:marBottom w:val="0"/>
      <w:divBdr>
        <w:top w:val="none" w:sz="0" w:space="0" w:color="auto"/>
        <w:left w:val="none" w:sz="0" w:space="0" w:color="auto"/>
        <w:bottom w:val="none" w:sz="0" w:space="0" w:color="auto"/>
        <w:right w:val="none" w:sz="0" w:space="0" w:color="auto"/>
      </w:divBdr>
    </w:div>
    <w:div w:id="2065175565">
      <w:bodyDiv w:val="1"/>
      <w:marLeft w:val="0"/>
      <w:marRight w:val="0"/>
      <w:marTop w:val="0"/>
      <w:marBottom w:val="0"/>
      <w:divBdr>
        <w:top w:val="none" w:sz="0" w:space="0" w:color="auto"/>
        <w:left w:val="none" w:sz="0" w:space="0" w:color="auto"/>
        <w:bottom w:val="none" w:sz="0" w:space="0" w:color="auto"/>
        <w:right w:val="none" w:sz="0" w:space="0" w:color="auto"/>
      </w:divBdr>
    </w:div>
    <w:div w:id="213937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wner\Documents\Clumber%20Club\Health%20&amp;%20Welfare\Registration%20Statistics%20old%20file\litter%20data%20since%202000\Main%20summary%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wner\Documents\Clumber%20Club\Health%20&amp;%20Welfare\Registration%20Statistics%20old%20file\litter%20data%20since%202000\Main%20summary%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Owner\Documents\Clumber%20Club\Health%20&amp;%20Welfare\Registration%20Statistics%20old%20file\litter%20data%20since%202000\Main%20summary%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Owner\Documents\Clumber%20Club\Health%20&amp;%20Welfare\Registration%20Statistics%20old%20file\litter%20data%20since%202000\Main%20summary%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Owner\Documents\Clumber%20Club\Health%20&amp;%20Welfare\Registration%20Statistics%20old%20file\litter%20data%20since%202000\KC%20COIs%20for%202014%20and%20201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Owner\Documents\Clumber%20Club\Analysis%20of%20Registration%20Data\Sires%20for%20repeat%20mating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Owner\Documents\Clumber%20Club\Analysis%20of%20Registration%20Data\Sires%20for%20repeat%20mating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lineChart>
        <c:grouping val="standard"/>
        <c:ser>
          <c:idx val="0"/>
          <c:order val="0"/>
          <c:tx>
            <c:strRef>
              <c:f>'puppy number &amp; sex'!$B$1</c:f>
              <c:strCache>
                <c:ptCount val="1"/>
                <c:pt idx="0">
                  <c:v>Total</c:v>
                </c:pt>
              </c:strCache>
            </c:strRef>
          </c:tx>
          <c:marker>
            <c:symbol val="none"/>
          </c:marker>
          <c:trendline>
            <c:spPr>
              <a:ln w="19050">
                <a:solidFill>
                  <a:srgbClr val="FF0000"/>
                </a:solidFill>
                <a:prstDash val="solid"/>
              </a:ln>
            </c:spPr>
            <c:trendlineType val="linear"/>
          </c:trendline>
          <c:cat>
            <c:numRef>
              <c:f>'puppy number &amp; sex'!$A$8:$A$17</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'puppy number &amp; sex'!$B$8:$B$17</c:f>
              <c:numCache>
                <c:formatCode>General</c:formatCode>
                <c:ptCount val="10"/>
                <c:pt idx="0">
                  <c:v>250</c:v>
                </c:pt>
                <c:pt idx="1">
                  <c:v>208</c:v>
                </c:pt>
                <c:pt idx="2">
                  <c:v>220</c:v>
                </c:pt>
                <c:pt idx="3">
                  <c:v>211</c:v>
                </c:pt>
                <c:pt idx="4">
                  <c:v>268</c:v>
                </c:pt>
                <c:pt idx="5">
                  <c:v>218</c:v>
                </c:pt>
                <c:pt idx="6">
                  <c:v>132</c:v>
                </c:pt>
                <c:pt idx="7">
                  <c:v>237</c:v>
                </c:pt>
                <c:pt idx="8">
                  <c:v>194</c:v>
                </c:pt>
                <c:pt idx="9">
                  <c:v>197</c:v>
                </c:pt>
              </c:numCache>
            </c:numRef>
          </c:val>
        </c:ser>
        <c:marker val="1"/>
        <c:axId val="117318784"/>
        <c:axId val="117320320"/>
      </c:lineChart>
      <c:catAx>
        <c:axId val="117318784"/>
        <c:scaling>
          <c:orientation val="minMax"/>
        </c:scaling>
        <c:axPos val="b"/>
        <c:numFmt formatCode="General" sourceLinked="1"/>
        <c:tickLblPos val="nextTo"/>
        <c:crossAx val="117320320"/>
        <c:crosses val="autoZero"/>
        <c:auto val="1"/>
        <c:lblAlgn val="ctr"/>
        <c:lblOffset val="100"/>
      </c:catAx>
      <c:valAx>
        <c:axId val="117320320"/>
        <c:scaling>
          <c:orientation val="minMax"/>
        </c:scaling>
        <c:axPos val="l"/>
        <c:majorGridlines/>
        <c:numFmt formatCode="General" sourceLinked="1"/>
        <c:tickLblPos val="nextTo"/>
        <c:crossAx val="117318784"/>
        <c:crosses val="autoZero"/>
        <c:crossBetween val="between"/>
      </c:valAx>
      <c:spPr>
        <a:ln>
          <a:noFill/>
        </a:ln>
      </c:spPr>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lineChart>
        <c:grouping val="standard"/>
        <c:ser>
          <c:idx val="0"/>
          <c:order val="0"/>
          <c:tx>
            <c:strRef>
              <c:f>'litter size'!$B$1</c:f>
              <c:strCache>
                <c:ptCount val="1"/>
                <c:pt idx="0">
                  <c:v>Number of litters</c:v>
                </c:pt>
              </c:strCache>
            </c:strRef>
          </c:tx>
          <c:marker>
            <c:symbol val="none"/>
          </c:marker>
          <c:trendline>
            <c:spPr>
              <a:ln w="19050">
                <a:solidFill>
                  <a:srgbClr val="FF0000"/>
                </a:solidFill>
              </a:ln>
            </c:spPr>
            <c:trendlineType val="linear"/>
          </c:trendline>
          <c:cat>
            <c:numRef>
              <c:f>'litter size'!$A$8:$A$17</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'litter size'!$B$8:$B$17</c:f>
              <c:numCache>
                <c:formatCode>General</c:formatCode>
                <c:ptCount val="10"/>
                <c:pt idx="0">
                  <c:v>46</c:v>
                </c:pt>
                <c:pt idx="1">
                  <c:v>39</c:v>
                </c:pt>
                <c:pt idx="2">
                  <c:v>40</c:v>
                </c:pt>
                <c:pt idx="3">
                  <c:v>45</c:v>
                </c:pt>
                <c:pt idx="4">
                  <c:v>51</c:v>
                </c:pt>
                <c:pt idx="5">
                  <c:v>48</c:v>
                </c:pt>
                <c:pt idx="6">
                  <c:v>25</c:v>
                </c:pt>
                <c:pt idx="7">
                  <c:v>49</c:v>
                </c:pt>
                <c:pt idx="8">
                  <c:v>37</c:v>
                </c:pt>
                <c:pt idx="9">
                  <c:v>35</c:v>
                </c:pt>
              </c:numCache>
            </c:numRef>
          </c:val>
        </c:ser>
        <c:hiLowLines/>
        <c:marker val="1"/>
        <c:axId val="117336704"/>
        <c:axId val="117338496"/>
      </c:lineChart>
      <c:catAx>
        <c:axId val="117336704"/>
        <c:scaling>
          <c:orientation val="minMax"/>
        </c:scaling>
        <c:axPos val="b"/>
        <c:numFmt formatCode="General" sourceLinked="1"/>
        <c:tickLblPos val="nextTo"/>
        <c:crossAx val="117338496"/>
        <c:crosses val="autoZero"/>
        <c:auto val="1"/>
        <c:lblAlgn val="ctr"/>
        <c:lblOffset val="100"/>
      </c:catAx>
      <c:valAx>
        <c:axId val="117338496"/>
        <c:scaling>
          <c:orientation val="minMax"/>
        </c:scaling>
        <c:axPos val="l"/>
        <c:majorGridlines/>
        <c:numFmt formatCode="General" sourceLinked="1"/>
        <c:tickLblPos val="nextTo"/>
        <c:crossAx val="117336704"/>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4.5901462283959756E-2"/>
          <c:y val="6.9919072615923034E-2"/>
          <c:w val="0.91800153341211621"/>
          <c:h val="0.79822506561679785"/>
        </c:manualLayout>
      </c:layout>
      <c:lineChart>
        <c:grouping val="standard"/>
        <c:ser>
          <c:idx val="0"/>
          <c:order val="0"/>
          <c:tx>
            <c:strRef>
              <c:f>'litter size'!$D$1</c:f>
              <c:strCache>
                <c:ptCount val="1"/>
                <c:pt idx="0">
                  <c:v>average no per litter</c:v>
                </c:pt>
              </c:strCache>
            </c:strRef>
          </c:tx>
          <c:marker>
            <c:symbol val="none"/>
          </c:marker>
          <c:trendline>
            <c:spPr>
              <a:ln w="19050">
                <a:solidFill>
                  <a:srgbClr val="FF0000"/>
                </a:solidFill>
                <a:prstDash val="solid"/>
              </a:ln>
            </c:spPr>
            <c:trendlineType val="linear"/>
          </c:trendline>
          <c:cat>
            <c:numRef>
              <c:f>'litter size'!$C$8:$C$17</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'litter size'!$D$8:$D$17</c:f>
              <c:numCache>
                <c:formatCode>General</c:formatCode>
                <c:ptCount val="10"/>
                <c:pt idx="0">
                  <c:v>5.4300000000000024</c:v>
                </c:pt>
                <c:pt idx="1">
                  <c:v>5.3599999999999985</c:v>
                </c:pt>
                <c:pt idx="2">
                  <c:v>5.5</c:v>
                </c:pt>
                <c:pt idx="3">
                  <c:v>4.6899999999999995</c:v>
                </c:pt>
                <c:pt idx="4">
                  <c:v>5.25</c:v>
                </c:pt>
                <c:pt idx="5">
                  <c:v>4.54</c:v>
                </c:pt>
                <c:pt idx="6">
                  <c:v>5.1599999999999975</c:v>
                </c:pt>
                <c:pt idx="7">
                  <c:v>4.84</c:v>
                </c:pt>
                <c:pt idx="8">
                  <c:v>5.24</c:v>
                </c:pt>
                <c:pt idx="9" formatCode="0.00">
                  <c:v>5.6199999999999966</c:v>
                </c:pt>
              </c:numCache>
            </c:numRef>
          </c:val>
        </c:ser>
        <c:marker val="1"/>
        <c:axId val="117353856"/>
        <c:axId val="117355648"/>
      </c:lineChart>
      <c:catAx>
        <c:axId val="117353856"/>
        <c:scaling>
          <c:orientation val="minMax"/>
        </c:scaling>
        <c:axPos val="b"/>
        <c:numFmt formatCode="General" sourceLinked="1"/>
        <c:tickLblPos val="nextTo"/>
        <c:crossAx val="117355648"/>
        <c:crosses val="autoZero"/>
        <c:auto val="1"/>
        <c:lblAlgn val="ctr"/>
        <c:lblOffset val="100"/>
      </c:catAx>
      <c:valAx>
        <c:axId val="117355648"/>
        <c:scaling>
          <c:orientation val="minMax"/>
        </c:scaling>
        <c:axPos val="l"/>
        <c:majorGridlines/>
        <c:numFmt formatCode="General" sourceLinked="1"/>
        <c:tickLblPos val="nextTo"/>
        <c:crossAx val="117353856"/>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9.6861822161528707E-2"/>
          <c:y val="7.4548702245552628E-2"/>
          <c:w val="0.83991416382398454"/>
          <c:h val="0.7827803295421405"/>
        </c:manualLayout>
      </c:layout>
      <c:barChart>
        <c:barDir val="col"/>
        <c:grouping val="clustered"/>
        <c:ser>
          <c:idx val="0"/>
          <c:order val="0"/>
          <c:tx>
            <c:strRef>
              <c:f>'puppy number &amp; sex'!$G$1</c:f>
              <c:strCache>
                <c:ptCount val="1"/>
                <c:pt idx="0">
                  <c:v>Dogs</c:v>
                </c:pt>
              </c:strCache>
            </c:strRef>
          </c:tx>
          <c:cat>
            <c:numRef>
              <c:f>'puppy number &amp; sex'!$F$2:$F$17</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'puppy number &amp; sex'!$G$2:$G$17</c:f>
              <c:numCache>
                <c:formatCode>0%</c:formatCode>
                <c:ptCount val="16"/>
                <c:pt idx="0">
                  <c:v>0.46153846153846312</c:v>
                </c:pt>
                <c:pt idx="1">
                  <c:v>0.44915254237288138</c:v>
                </c:pt>
                <c:pt idx="2">
                  <c:v>0.50318471337579662</c:v>
                </c:pt>
                <c:pt idx="3">
                  <c:v>0.48447204968944413</c:v>
                </c:pt>
                <c:pt idx="4">
                  <c:v>0.46198830409356878</c:v>
                </c:pt>
                <c:pt idx="5">
                  <c:v>0.5</c:v>
                </c:pt>
                <c:pt idx="6">
                  <c:v>0.52</c:v>
                </c:pt>
                <c:pt idx="7">
                  <c:v>0.55769230769230771</c:v>
                </c:pt>
                <c:pt idx="8">
                  <c:v>0.56363636363636349</c:v>
                </c:pt>
                <c:pt idx="9">
                  <c:v>0.57345971563981368</c:v>
                </c:pt>
                <c:pt idx="10">
                  <c:v>0.51492537313432862</c:v>
                </c:pt>
                <c:pt idx="11">
                  <c:v>0.56422018348623848</c:v>
                </c:pt>
                <c:pt idx="12">
                  <c:v>0.54545454545454541</c:v>
                </c:pt>
                <c:pt idx="13">
                  <c:v>0.54430379746835444</c:v>
                </c:pt>
                <c:pt idx="14">
                  <c:v>0.51546391752577314</c:v>
                </c:pt>
                <c:pt idx="15" formatCode="0.00%">
                  <c:v>0.55837563451776662</c:v>
                </c:pt>
              </c:numCache>
            </c:numRef>
          </c:val>
        </c:ser>
        <c:ser>
          <c:idx val="1"/>
          <c:order val="1"/>
          <c:tx>
            <c:strRef>
              <c:f>'puppy number &amp; sex'!$H$1</c:f>
              <c:strCache>
                <c:ptCount val="1"/>
                <c:pt idx="0">
                  <c:v>Bitches</c:v>
                </c:pt>
              </c:strCache>
            </c:strRef>
          </c:tx>
          <c:spPr>
            <a:solidFill>
              <a:srgbClr val="FF33CC"/>
            </a:solidFill>
          </c:spPr>
          <c:cat>
            <c:numRef>
              <c:f>'puppy number &amp; sex'!$F$2:$F$17</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'puppy number &amp; sex'!$H$2:$H$17</c:f>
              <c:numCache>
                <c:formatCode>0%</c:formatCode>
                <c:ptCount val="16"/>
                <c:pt idx="0">
                  <c:v>0.53846153846153844</c:v>
                </c:pt>
                <c:pt idx="1">
                  <c:v>0.55084745762712273</c:v>
                </c:pt>
                <c:pt idx="2">
                  <c:v>0.49681528662420626</c:v>
                </c:pt>
                <c:pt idx="3">
                  <c:v>0.51552795031055898</c:v>
                </c:pt>
                <c:pt idx="4">
                  <c:v>0.5380116959064325</c:v>
                </c:pt>
                <c:pt idx="5">
                  <c:v>0.5</c:v>
                </c:pt>
                <c:pt idx="6">
                  <c:v>0.48000000000000032</c:v>
                </c:pt>
                <c:pt idx="7">
                  <c:v>0.4423076923076939</c:v>
                </c:pt>
                <c:pt idx="8">
                  <c:v>0.4363636363636379</c:v>
                </c:pt>
                <c:pt idx="9">
                  <c:v>0.42654028436018981</c:v>
                </c:pt>
                <c:pt idx="10">
                  <c:v>0.48507462686567415</c:v>
                </c:pt>
                <c:pt idx="11">
                  <c:v>0.43577981651376146</c:v>
                </c:pt>
                <c:pt idx="12">
                  <c:v>0.45454545454545453</c:v>
                </c:pt>
                <c:pt idx="13">
                  <c:v>0.45569620253164556</c:v>
                </c:pt>
                <c:pt idx="14">
                  <c:v>0.4845360824742268</c:v>
                </c:pt>
                <c:pt idx="15" formatCode="0.00%">
                  <c:v>0.45177664974619275</c:v>
                </c:pt>
              </c:numCache>
            </c:numRef>
          </c:val>
        </c:ser>
        <c:axId val="117371648"/>
        <c:axId val="117373184"/>
      </c:barChart>
      <c:catAx>
        <c:axId val="117371648"/>
        <c:scaling>
          <c:orientation val="minMax"/>
        </c:scaling>
        <c:axPos val="b"/>
        <c:numFmt formatCode="General" sourceLinked="1"/>
        <c:tickLblPos val="nextTo"/>
        <c:crossAx val="117373184"/>
        <c:crosses val="autoZero"/>
        <c:auto val="1"/>
        <c:lblAlgn val="ctr"/>
        <c:lblOffset val="100"/>
      </c:catAx>
      <c:valAx>
        <c:axId val="117373184"/>
        <c:scaling>
          <c:orientation val="minMax"/>
        </c:scaling>
        <c:axPos val="l"/>
        <c:majorGridlines/>
        <c:numFmt formatCode="0%" sourceLinked="1"/>
        <c:tickLblPos val="nextTo"/>
        <c:crossAx val="117371648"/>
        <c:crosses val="autoZero"/>
        <c:crossBetween val="between"/>
      </c:valAx>
    </c:plotArea>
    <c:legend>
      <c:legendPos val="b"/>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barChart>
        <c:barDir val="col"/>
        <c:grouping val="clustered"/>
        <c:ser>
          <c:idx val="0"/>
          <c:order val="0"/>
          <c:tx>
            <c:strRef>
              <c:f>Sheet1!$D$1</c:f>
              <c:strCache>
                <c:ptCount val="1"/>
                <c:pt idx="0">
                  <c:v>2014</c:v>
                </c:pt>
              </c:strCache>
            </c:strRef>
          </c:tx>
          <c:spPr>
            <a:solidFill>
              <a:schemeClr val="tx2">
                <a:lumMod val="60000"/>
                <a:lumOff val="40000"/>
              </a:schemeClr>
            </a:solidFill>
          </c:spPr>
          <c:cat>
            <c:strRef>
              <c:f>Sheet1!$A$2:$A$4</c:f>
              <c:strCache>
                <c:ptCount val="3"/>
                <c:pt idx="0">
                  <c:v>KC COI less than 12.5%</c:v>
                </c:pt>
                <c:pt idx="1">
                  <c:v>KC COI between 12.5% and 25%</c:v>
                </c:pt>
                <c:pt idx="2">
                  <c:v>KC COI more than 25%</c:v>
                </c:pt>
              </c:strCache>
            </c:strRef>
          </c:cat>
          <c:val>
            <c:numRef>
              <c:f>Sheet1!$D$2:$D$4</c:f>
              <c:numCache>
                <c:formatCode>0%</c:formatCode>
                <c:ptCount val="3"/>
                <c:pt idx="0">
                  <c:v>0.21621621621621684</c:v>
                </c:pt>
                <c:pt idx="1">
                  <c:v>0.43243243243243246</c:v>
                </c:pt>
                <c:pt idx="2">
                  <c:v>0.35135135135135137</c:v>
                </c:pt>
              </c:numCache>
            </c:numRef>
          </c:val>
        </c:ser>
        <c:ser>
          <c:idx val="1"/>
          <c:order val="1"/>
          <c:tx>
            <c:strRef>
              <c:f>Sheet1!$E$1</c:f>
              <c:strCache>
                <c:ptCount val="1"/>
                <c:pt idx="0">
                  <c:v>2015</c:v>
                </c:pt>
              </c:strCache>
            </c:strRef>
          </c:tx>
          <c:spPr>
            <a:solidFill>
              <a:schemeClr val="accent6"/>
            </a:solidFill>
          </c:spPr>
          <c:cat>
            <c:strRef>
              <c:f>Sheet1!$A$2:$A$4</c:f>
              <c:strCache>
                <c:ptCount val="3"/>
                <c:pt idx="0">
                  <c:v>KC COI less than 12.5%</c:v>
                </c:pt>
                <c:pt idx="1">
                  <c:v>KC COI between 12.5% and 25%</c:v>
                </c:pt>
                <c:pt idx="2">
                  <c:v>KC COI more than 25%</c:v>
                </c:pt>
              </c:strCache>
            </c:strRef>
          </c:cat>
          <c:val>
            <c:numRef>
              <c:f>Sheet1!$E$2:$E$4</c:f>
              <c:numCache>
                <c:formatCode>0%</c:formatCode>
                <c:ptCount val="3"/>
                <c:pt idx="0">
                  <c:v>0.22857142857142923</c:v>
                </c:pt>
                <c:pt idx="1">
                  <c:v>0.45714285714285852</c:v>
                </c:pt>
                <c:pt idx="2">
                  <c:v>0.31428571428571533</c:v>
                </c:pt>
              </c:numCache>
            </c:numRef>
          </c:val>
        </c:ser>
        <c:axId val="164714752"/>
        <c:axId val="164716544"/>
      </c:barChart>
      <c:catAx>
        <c:axId val="164714752"/>
        <c:scaling>
          <c:orientation val="minMax"/>
        </c:scaling>
        <c:axPos val="b"/>
        <c:majorTickMark val="none"/>
        <c:tickLblPos val="nextTo"/>
        <c:crossAx val="164716544"/>
        <c:crosses val="autoZero"/>
        <c:auto val="1"/>
        <c:lblAlgn val="ctr"/>
        <c:lblOffset val="100"/>
      </c:catAx>
      <c:valAx>
        <c:axId val="164716544"/>
        <c:scaling>
          <c:orientation val="minMax"/>
        </c:scaling>
        <c:axPos val="l"/>
        <c:majorGridlines/>
        <c:numFmt formatCode="0%" sourceLinked="1"/>
        <c:majorTickMark val="none"/>
        <c:tickLblPos val="nextTo"/>
        <c:crossAx val="164714752"/>
        <c:crosses val="autoZero"/>
        <c:crossBetween val="between"/>
      </c:valAx>
      <c:dTable>
        <c:showHorzBorder val="1"/>
        <c:showVertBorder val="1"/>
        <c:showOutline val="1"/>
        <c:showKeys val="1"/>
      </c:dTable>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hart>
    <c:title/>
    <c:plotArea>
      <c:layout>
        <c:manualLayout>
          <c:layoutTarget val="inner"/>
          <c:xMode val="edge"/>
          <c:yMode val="edge"/>
          <c:x val="8.3341718391061234E-2"/>
          <c:y val="7.4433143773694949E-2"/>
          <c:w val="0.88893301380805667"/>
          <c:h val="0.80958697871099039"/>
        </c:manualLayout>
      </c:layout>
      <c:lineChart>
        <c:grouping val="standard"/>
        <c:ser>
          <c:idx val="0"/>
          <c:order val="0"/>
          <c:tx>
            <c:strRef>
              <c:f>summary!$G$1</c:f>
              <c:strCache>
                <c:ptCount val="1"/>
              </c:strCache>
            </c:strRef>
          </c:tx>
          <c:marker>
            <c:symbol val="none"/>
          </c:marker>
          <c:trendline>
            <c:spPr>
              <a:ln w="19050">
                <a:solidFill>
                  <a:srgbClr val="FF0000"/>
                </a:solidFill>
              </a:ln>
            </c:spPr>
            <c:trendlineType val="linear"/>
          </c:trendline>
          <c:cat>
            <c:numRef>
              <c:f>summary!$A$2:$A$11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summary!$G$2:$G$11</c:f>
              <c:numCache>
                <c:formatCode>0.00%</c:formatCode>
                <c:ptCount val="10"/>
                <c:pt idx="0">
                  <c:v>0.10869565217391382</c:v>
                </c:pt>
                <c:pt idx="1">
                  <c:v>0.2051282051282052</c:v>
                </c:pt>
                <c:pt idx="2">
                  <c:v>0.2</c:v>
                </c:pt>
                <c:pt idx="3">
                  <c:v>0.15555555555555556</c:v>
                </c:pt>
                <c:pt idx="4">
                  <c:v>0.19607843137254904</c:v>
                </c:pt>
                <c:pt idx="5">
                  <c:v>0.21739130434782714</c:v>
                </c:pt>
                <c:pt idx="6">
                  <c:v>0.16</c:v>
                </c:pt>
                <c:pt idx="7">
                  <c:v>0.12244897959183668</c:v>
                </c:pt>
                <c:pt idx="8">
                  <c:v>8.1081081081081086E-2</c:v>
                </c:pt>
                <c:pt idx="9">
                  <c:v>0.11428571428571467</c:v>
                </c:pt>
              </c:numCache>
            </c:numRef>
          </c:val>
        </c:ser>
        <c:marker val="1"/>
        <c:axId val="164733312"/>
        <c:axId val="164734848"/>
      </c:lineChart>
      <c:catAx>
        <c:axId val="164733312"/>
        <c:scaling>
          <c:orientation val="minMax"/>
        </c:scaling>
        <c:axPos val="b"/>
        <c:numFmt formatCode="General" sourceLinked="1"/>
        <c:tickLblPos val="nextTo"/>
        <c:crossAx val="164734848"/>
        <c:crosses val="autoZero"/>
        <c:auto val="1"/>
        <c:lblAlgn val="ctr"/>
        <c:lblOffset val="100"/>
      </c:catAx>
      <c:valAx>
        <c:axId val="164734848"/>
        <c:scaling>
          <c:orientation val="minMax"/>
        </c:scaling>
        <c:axPos val="l"/>
        <c:majorGridlines/>
        <c:numFmt formatCode="0.00%" sourceLinked="1"/>
        <c:tickLblPos val="nextTo"/>
        <c:crossAx val="164733312"/>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barChart>
        <c:barDir val="col"/>
        <c:grouping val="stacked"/>
        <c:ser>
          <c:idx val="0"/>
          <c:order val="0"/>
          <c:tx>
            <c:strRef>
              <c:f>summary!$B$1</c:f>
              <c:strCache>
                <c:ptCount val="1"/>
                <c:pt idx="0">
                  <c:v>2nd time</c:v>
                </c:pt>
              </c:strCache>
            </c:strRef>
          </c:tx>
          <c:spPr>
            <a:solidFill>
              <a:schemeClr val="tx2">
                <a:lumMod val="60000"/>
                <a:lumOff val="40000"/>
              </a:schemeClr>
            </a:solidFill>
          </c:spPr>
          <c:cat>
            <c:numRef>
              <c:f>summary!$A$2:$A$11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summary!$B$2:$B$11</c:f>
              <c:numCache>
                <c:formatCode>General</c:formatCode>
                <c:ptCount val="10"/>
                <c:pt idx="0">
                  <c:v>3</c:v>
                </c:pt>
                <c:pt idx="1">
                  <c:v>8</c:v>
                </c:pt>
                <c:pt idx="2">
                  <c:v>8</c:v>
                </c:pt>
                <c:pt idx="3">
                  <c:v>5</c:v>
                </c:pt>
                <c:pt idx="4">
                  <c:v>8</c:v>
                </c:pt>
                <c:pt idx="5">
                  <c:v>6</c:v>
                </c:pt>
                <c:pt idx="6">
                  <c:v>4</c:v>
                </c:pt>
                <c:pt idx="7">
                  <c:v>4</c:v>
                </c:pt>
                <c:pt idx="8">
                  <c:v>3</c:v>
                </c:pt>
                <c:pt idx="9">
                  <c:v>3</c:v>
                </c:pt>
              </c:numCache>
            </c:numRef>
          </c:val>
        </c:ser>
        <c:ser>
          <c:idx val="1"/>
          <c:order val="1"/>
          <c:tx>
            <c:strRef>
              <c:f>summary!$C$1</c:f>
              <c:strCache>
                <c:ptCount val="1"/>
                <c:pt idx="0">
                  <c:v>3rd time</c:v>
                </c:pt>
              </c:strCache>
            </c:strRef>
          </c:tx>
          <c:spPr>
            <a:solidFill>
              <a:srgbClr val="FFFF00"/>
            </a:solidFill>
          </c:spPr>
          <c:cat>
            <c:numRef>
              <c:f>summary!$A$2:$A$11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summary!$C$2:$C$11</c:f>
              <c:numCache>
                <c:formatCode>General</c:formatCode>
                <c:ptCount val="10"/>
                <c:pt idx="0">
                  <c:v>1</c:v>
                </c:pt>
                <c:pt idx="3">
                  <c:v>2</c:v>
                </c:pt>
                <c:pt idx="5">
                  <c:v>4</c:v>
                </c:pt>
                <c:pt idx="7">
                  <c:v>2</c:v>
                </c:pt>
                <c:pt idx="9">
                  <c:v>1</c:v>
                </c:pt>
              </c:numCache>
            </c:numRef>
          </c:val>
        </c:ser>
        <c:ser>
          <c:idx val="2"/>
          <c:order val="2"/>
          <c:tx>
            <c:strRef>
              <c:f>summary!$D$1</c:f>
              <c:strCache>
                <c:ptCount val="1"/>
                <c:pt idx="0">
                  <c:v>4th time</c:v>
                </c:pt>
              </c:strCache>
            </c:strRef>
          </c:tx>
          <c:spPr>
            <a:solidFill>
              <a:srgbClr val="FF0000"/>
            </a:solidFill>
          </c:spPr>
          <c:cat>
            <c:numRef>
              <c:f>summary!$A$2:$A$11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summary!$D$2:$D$11</c:f>
              <c:numCache>
                <c:formatCode>General</c:formatCode>
                <c:ptCount val="10"/>
                <c:pt idx="0">
                  <c:v>1</c:v>
                </c:pt>
                <c:pt idx="4">
                  <c:v>2</c:v>
                </c:pt>
              </c:numCache>
            </c:numRef>
          </c:val>
        </c:ser>
        <c:gapWidth val="95"/>
        <c:overlap val="100"/>
        <c:axId val="132328064"/>
        <c:axId val="132333952"/>
      </c:barChart>
      <c:catAx>
        <c:axId val="132328064"/>
        <c:scaling>
          <c:orientation val="minMax"/>
        </c:scaling>
        <c:axPos val="b"/>
        <c:numFmt formatCode="General" sourceLinked="1"/>
        <c:majorTickMark val="none"/>
        <c:tickLblPos val="nextTo"/>
        <c:crossAx val="132333952"/>
        <c:crosses val="autoZero"/>
        <c:auto val="1"/>
        <c:lblAlgn val="ctr"/>
        <c:lblOffset val="100"/>
      </c:catAx>
      <c:valAx>
        <c:axId val="132333952"/>
        <c:scaling>
          <c:orientation val="minMax"/>
        </c:scaling>
        <c:axPos val="l"/>
        <c:majorGridlines/>
        <c:numFmt formatCode="General" sourceLinked="1"/>
        <c:majorTickMark val="none"/>
        <c:tickLblPos val="nextTo"/>
        <c:crossAx val="132328064"/>
        <c:crosses val="autoZero"/>
        <c:crossBetween val="between"/>
      </c:valAx>
      <c:dTable>
        <c:showHorzBorder val="1"/>
        <c:showVertBorder val="1"/>
        <c:showOutline val="1"/>
        <c:showKeys val="1"/>
      </c:dTable>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0FD8D-F41A-4A28-B7E1-FA6AFE7A8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2213</Words>
  <Characters>12617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Weston</dc:creator>
  <cp:lastModifiedBy>Noone</cp:lastModifiedBy>
  <cp:revision>2</cp:revision>
  <cp:lastPrinted>2016-12-01T12:20:00Z</cp:lastPrinted>
  <dcterms:created xsi:type="dcterms:W3CDTF">2016-12-21T23:30:00Z</dcterms:created>
  <dcterms:modified xsi:type="dcterms:W3CDTF">2016-12-21T23:30:00Z</dcterms:modified>
</cp:coreProperties>
</file>